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90" w:rsidRDefault="003B4990" w:rsidP="003B4990">
      <w:pPr>
        <w:rPr>
          <w:rFonts w:ascii="Garamond" w:hAnsi="Garamond"/>
        </w:rPr>
      </w:pPr>
    </w:p>
    <w:p w:rsidR="003B4990" w:rsidRDefault="003B4990" w:rsidP="003B4990">
      <w:pPr>
        <w:jc w:val="right"/>
        <w:rPr>
          <w:rFonts w:ascii="Garamond" w:hAnsi="Garamond"/>
        </w:rPr>
      </w:pPr>
      <w:r>
        <w:rPr>
          <w:rFonts w:ascii="Garamond" w:hAnsi="Garamond"/>
        </w:rPr>
        <w:t xml:space="preserve">Warszawa, </w:t>
      </w:r>
      <w:r w:rsidR="00B42ED4">
        <w:rPr>
          <w:rFonts w:ascii="Garamond" w:hAnsi="Garamond"/>
        </w:rPr>
        <w:t>27</w:t>
      </w:r>
      <w:r>
        <w:rPr>
          <w:rFonts w:ascii="Garamond" w:hAnsi="Garamond"/>
        </w:rPr>
        <w:t xml:space="preserve"> marca 2017 r.</w:t>
      </w:r>
    </w:p>
    <w:p w:rsidR="003B4990" w:rsidRDefault="003B4990" w:rsidP="003B4990">
      <w:pPr>
        <w:rPr>
          <w:rFonts w:ascii="Garamond" w:hAnsi="Garamond"/>
        </w:rPr>
      </w:pPr>
    </w:p>
    <w:p w:rsidR="003B4990" w:rsidRDefault="003B4990" w:rsidP="003B4990">
      <w:pPr>
        <w:jc w:val="right"/>
        <w:rPr>
          <w:rFonts w:ascii="Garamond" w:hAnsi="Garamond"/>
        </w:rPr>
      </w:pPr>
    </w:p>
    <w:p w:rsidR="003B4990" w:rsidRDefault="003B4990" w:rsidP="003B4990">
      <w:pPr>
        <w:jc w:val="right"/>
        <w:rPr>
          <w:rFonts w:ascii="Garamond" w:hAnsi="Garamond"/>
        </w:rPr>
      </w:pPr>
    </w:p>
    <w:p w:rsidR="003B4990" w:rsidRPr="00057C95" w:rsidRDefault="003B4990" w:rsidP="003B4990">
      <w:pPr>
        <w:rPr>
          <w:rFonts w:ascii="Garamond" w:hAnsi="Garamond"/>
        </w:rPr>
      </w:pPr>
    </w:p>
    <w:p w:rsidR="003B4990" w:rsidRPr="002B0085" w:rsidRDefault="00580ED2" w:rsidP="003B4990">
      <w:pPr>
        <w:spacing w:after="0" w:line="240" w:lineRule="auto"/>
        <w:rPr>
          <w:rFonts w:ascii="Garamond" w:hAnsi="Garamond"/>
          <w:b/>
          <w:sz w:val="40"/>
          <w:szCs w:val="32"/>
        </w:rPr>
      </w:pPr>
      <w:r>
        <w:rPr>
          <w:rFonts w:ascii="Garamond" w:hAnsi="Garamond"/>
          <w:b/>
          <w:sz w:val="40"/>
          <w:szCs w:val="32"/>
        </w:rPr>
        <w:t>Unijne dotacje uruchamiane zbyt wolno</w:t>
      </w:r>
    </w:p>
    <w:p w:rsidR="003B4990" w:rsidRDefault="003B4990" w:rsidP="003B4990">
      <w:pPr>
        <w:spacing w:after="0" w:line="240" w:lineRule="auto"/>
        <w:rPr>
          <w:rFonts w:ascii="Garamond" w:hAnsi="Garamond"/>
          <w:sz w:val="24"/>
          <w:szCs w:val="24"/>
        </w:rPr>
      </w:pPr>
    </w:p>
    <w:p w:rsidR="003B4990" w:rsidRPr="002B0085" w:rsidRDefault="003B4990" w:rsidP="003B4990">
      <w:pPr>
        <w:spacing w:after="0" w:line="240" w:lineRule="auto"/>
        <w:rPr>
          <w:rFonts w:ascii="Garamond" w:hAnsi="Garamond"/>
          <w:b/>
          <w:color w:val="7030A0"/>
          <w:sz w:val="24"/>
          <w:szCs w:val="24"/>
        </w:rPr>
      </w:pPr>
      <w:r w:rsidRPr="002B0085">
        <w:rPr>
          <w:rFonts w:ascii="Garamond" w:hAnsi="Garamond"/>
          <w:b/>
          <w:color w:val="7030A0"/>
          <w:sz w:val="24"/>
          <w:szCs w:val="24"/>
        </w:rPr>
        <w:t>Informacja prasowa</w:t>
      </w:r>
    </w:p>
    <w:p w:rsidR="003B4990" w:rsidRDefault="003B4990" w:rsidP="003B4990">
      <w:pPr>
        <w:spacing w:after="0" w:line="240" w:lineRule="auto"/>
        <w:rPr>
          <w:rFonts w:ascii="Garamond" w:hAnsi="Garamond"/>
          <w:sz w:val="24"/>
          <w:szCs w:val="24"/>
        </w:rPr>
      </w:pPr>
    </w:p>
    <w:p w:rsidR="00753A44" w:rsidRDefault="008E5EAB" w:rsidP="00753A44">
      <w:pPr>
        <w:pStyle w:val="Akapitzlist"/>
        <w:numPr>
          <w:ilvl w:val="0"/>
          <w:numId w:val="2"/>
        </w:numPr>
        <w:spacing w:after="0" w:line="240" w:lineRule="auto"/>
        <w:rPr>
          <w:rFonts w:ascii="Garamond" w:hAnsi="Garamond"/>
          <w:b/>
          <w:sz w:val="24"/>
          <w:szCs w:val="24"/>
        </w:rPr>
      </w:pPr>
      <w:r w:rsidRPr="00753A44">
        <w:rPr>
          <w:rFonts w:ascii="Garamond" w:hAnsi="Garamond"/>
          <w:b/>
          <w:sz w:val="24"/>
          <w:szCs w:val="24"/>
        </w:rPr>
        <w:t xml:space="preserve">Do końca 2017 roku województwa rozdzielą </w:t>
      </w:r>
      <w:r w:rsidR="00D777BF" w:rsidRPr="00753A44">
        <w:rPr>
          <w:rFonts w:ascii="Garamond" w:hAnsi="Garamond"/>
          <w:b/>
          <w:sz w:val="24"/>
          <w:szCs w:val="24"/>
        </w:rPr>
        <w:t xml:space="preserve">bądź już rozdzieliły </w:t>
      </w:r>
      <w:r w:rsidRPr="00753A44">
        <w:rPr>
          <w:rFonts w:ascii="Garamond" w:hAnsi="Garamond"/>
          <w:b/>
          <w:sz w:val="24"/>
          <w:szCs w:val="24"/>
        </w:rPr>
        <w:t xml:space="preserve">niespełna 10 mld zł unijnych </w:t>
      </w:r>
      <w:r w:rsidR="00753A44">
        <w:rPr>
          <w:rFonts w:ascii="Garamond" w:hAnsi="Garamond"/>
          <w:b/>
          <w:sz w:val="24"/>
          <w:szCs w:val="24"/>
        </w:rPr>
        <w:t>funduszy dla firm</w:t>
      </w:r>
      <w:r w:rsidR="00D93E97" w:rsidRPr="00753A44">
        <w:rPr>
          <w:rFonts w:ascii="Garamond" w:hAnsi="Garamond"/>
          <w:b/>
          <w:sz w:val="24"/>
          <w:szCs w:val="24"/>
        </w:rPr>
        <w:t>, czyli 22 proc. całej planowanej</w:t>
      </w:r>
      <w:r w:rsidR="00D45E6F" w:rsidRPr="00753A44">
        <w:rPr>
          <w:rFonts w:ascii="Garamond" w:hAnsi="Garamond"/>
          <w:b/>
          <w:sz w:val="24"/>
          <w:szCs w:val="24"/>
        </w:rPr>
        <w:t xml:space="preserve"> na ten cel puli na lata 2014-</w:t>
      </w:r>
      <w:r w:rsidR="00753A44">
        <w:rPr>
          <w:rFonts w:ascii="Garamond" w:hAnsi="Garamond"/>
          <w:b/>
          <w:sz w:val="24"/>
          <w:szCs w:val="24"/>
        </w:rPr>
        <w:t>20</w:t>
      </w:r>
      <w:r w:rsidR="00D93E97" w:rsidRPr="00753A44">
        <w:rPr>
          <w:rFonts w:ascii="Garamond" w:hAnsi="Garamond"/>
          <w:b/>
          <w:sz w:val="24"/>
          <w:szCs w:val="24"/>
        </w:rPr>
        <w:t>20</w:t>
      </w:r>
      <w:r w:rsidR="00753A44">
        <w:rPr>
          <w:rFonts w:ascii="Garamond" w:hAnsi="Garamond"/>
          <w:b/>
          <w:sz w:val="24"/>
          <w:szCs w:val="24"/>
        </w:rPr>
        <w:t xml:space="preserve"> – wynika z raportu</w:t>
      </w:r>
      <w:r w:rsidR="00070098" w:rsidRPr="00753A44">
        <w:rPr>
          <w:rFonts w:ascii="Garamond" w:hAnsi="Garamond"/>
          <w:b/>
          <w:sz w:val="24"/>
          <w:szCs w:val="24"/>
        </w:rPr>
        <w:t xml:space="preserve"> firmy audytorsko-doradczo-outsou</w:t>
      </w:r>
      <w:r w:rsidR="00753A44">
        <w:rPr>
          <w:rFonts w:ascii="Garamond" w:hAnsi="Garamond"/>
          <w:b/>
          <w:sz w:val="24"/>
          <w:szCs w:val="24"/>
        </w:rPr>
        <w:t>rcingowej Grant Thornton pod patronatem KPOL Lewiatan.</w:t>
      </w:r>
    </w:p>
    <w:p w:rsidR="00753A44" w:rsidRDefault="00753A44" w:rsidP="00753A44">
      <w:pPr>
        <w:pStyle w:val="Akapitzlist"/>
        <w:spacing w:after="0" w:line="240" w:lineRule="auto"/>
        <w:rPr>
          <w:rFonts w:ascii="Garamond" w:hAnsi="Garamond"/>
          <w:b/>
          <w:sz w:val="24"/>
          <w:szCs w:val="24"/>
        </w:rPr>
      </w:pPr>
    </w:p>
    <w:p w:rsidR="003B4990" w:rsidRPr="00753A44" w:rsidRDefault="00070098" w:rsidP="00753A44">
      <w:pPr>
        <w:pStyle w:val="Akapitzlist"/>
        <w:numPr>
          <w:ilvl w:val="0"/>
          <w:numId w:val="2"/>
        </w:numPr>
        <w:spacing w:after="0" w:line="240" w:lineRule="auto"/>
        <w:rPr>
          <w:rFonts w:ascii="Garamond" w:hAnsi="Garamond"/>
          <w:b/>
          <w:sz w:val="24"/>
          <w:szCs w:val="24"/>
        </w:rPr>
      </w:pPr>
      <w:r w:rsidRPr="00753A44">
        <w:rPr>
          <w:rFonts w:ascii="Garamond" w:hAnsi="Garamond"/>
          <w:b/>
          <w:sz w:val="24"/>
          <w:szCs w:val="24"/>
        </w:rPr>
        <w:t xml:space="preserve">Najwolniej dystrybucja środków z Brukseli przebiega w województwie kujawsko-pomorskim, gdzie odsetek ten wynosi zaledwie 13,2 proc. </w:t>
      </w:r>
    </w:p>
    <w:p w:rsidR="003B4990" w:rsidRPr="00057C95" w:rsidRDefault="003B4990" w:rsidP="003B4990">
      <w:pPr>
        <w:spacing w:after="0" w:line="240" w:lineRule="auto"/>
        <w:rPr>
          <w:rFonts w:ascii="Garamond" w:hAnsi="Garamond"/>
          <w:sz w:val="24"/>
          <w:szCs w:val="24"/>
        </w:rPr>
      </w:pPr>
    </w:p>
    <w:p w:rsidR="003B4990" w:rsidRDefault="008B5245" w:rsidP="003B4990">
      <w:pPr>
        <w:pStyle w:val="Tekstpodstawowy"/>
        <w:spacing w:after="0" w:line="240" w:lineRule="auto"/>
        <w:jc w:val="both"/>
        <w:rPr>
          <w:rFonts w:ascii="Cambria" w:eastAsia="Calibri" w:hAnsi="Cambria" w:cs="Times New Roman"/>
          <w:szCs w:val="22"/>
          <w:lang w:val="pl-PL"/>
        </w:rPr>
      </w:pPr>
      <w:r>
        <w:rPr>
          <w:rFonts w:ascii="Cambria" w:eastAsia="Calibri" w:hAnsi="Cambria" w:cs="Times New Roman"/>
          <w:szCs w:val="22"/>
          <w:lang w:val="pl-PL"/>
        </w:rPr>
        <w:t>Eksperci firmy audytorsko-doradczo-outsourcingowej Gran</w:t>
      </w:r>
      <w:r w:rsidR="004B1E59">
        <w:rPr>
          <w:rFonts w:ascii="Cambria" w:eastAsia="Calibri" w:hAnsi="Cambria" w:cs="Times New Roman"/>
          <w:szCs w:val="22"/>
          <w:lang w:val="pl-PL"/>
        </w:rPr>
        <w:t xml:space="preserve">t Thornton pod patronatem Kujawsko-Pomorskiej Organizacji Pracodawców Lewiatan przygotowali raport, w którym sprawdzono na jakie wsparcie ze środków unijnych w ramach Regionalnych Programów Operacyjnych mógł liczyć biznes do końca 2016 roku i jakie </w:t>
      </w:r>
      <w:r w:rsidR="00805670">
        <w:rPr>
          <w:rFonts w:ascii="Cambria" w:eastAsia="Calibri" w:hAnsi="Cambria" w:cs="Times New Roman"/>
          <w:szCs w:val="22"/>
          <w:lang w:val="pl-PL"/>
        </w:rPr>
        <w:t xml:space="preserve">dofinansowanie czeka na przedsiębiorców w 2017 roku. </w:t>
      </w:r>
    </w:p>
    <w:p w:rsidR="00805670" w:rsidRDefault="00805670" w:rsidP="003B4990">
      <w:pPr>
        <w:pStyle w:val="Tekstpodstawowy"/>
        <w:spacing w:after="0" w:line="240" w:lineRule="auto"/>
        <w:jc w:val="both"/>
        <w:rPr>
          <w:rFonts w:ascii="Cambria" w:eastAsia="Calibri" w:hAnsi="Cambria" w:cs="Times New Roman"/>
          <w:szCs w:val="22"/>
          <w:lang w:val="pl-PL"/>
        </w:rPr>
      </w:pPr>
    </w:p>
    <w:p w:rsidR="00805670" w:rsidRDefault="00805670" w:rsidP="00805670">
      <w:pPr>
        <w:autoSpaceDE w:val="0"/>
        <w:autoSpaceDN w:val="0"/>
        <w:adjustRightInd w:val="0"/>
        <w:spacing w:after="0" w:line="240" w:lineRule="auto"/>
        <w:rPr>
          <w:rFonts w:asciiTheme="majorHAnsi" w:eastAsiaTheme="minorHAnsi" w:hAnsiTheme="majorHAnsi" w:cs="GTWalsheimProLight"/>
        </w:rPr>
      </w:pPr>
      <w:r w:rsidRPr="00805670">
        <w:rPr>
          <w:rFonts w:asciiTheme="majorHAnsi" w:eastAsiaTheme="minorHAnsi" w:hAnsiTheme="majorHAnsi" w:cs="GTWalsheimProLight"/>
        </w:rPr>
        <w:t>Jeśli zsumować rozdzielone dotąd wsparcie dla firm</w:t>
      </w:r>
      <w:r>
        <w:rPr>
          <w:rFonts w:asciiTheme="majorHAnsi" w:eastAsiaTheme="minorHAnsi" w:hAnsiTheme="majorHAnsi" w:cs="GTWalsheimProLight"/>
        </w:rPr>
        <w:t xml:space="preserve"> </w:t>
      </w:r>
      <w:r w:rsidRPr="00805670">
        <w:rPr>
          <w:rFonts w:asciiTheme="majorHAnsi" w:eastAsiaTheme="minorHAnsi" w:hAnsiTheme="majorHAnsi" w:cs="GTWalsheimProLight"/>
        </w:rPr>
        <w:t>z planowanym na 2017 rok, okazuje się, że na koniec bieżącego roku województwa rozdzielą 9,96 mld zł unijnych funduszy dla firm, czyli 22 proc. całej planowanej na ten cel puli na lata 2014-</w:t>
      </w:r>
      <w:r w:rsidR="00753A44">
        <w:rPr>
          <w:rFonts w:asciiTheme="majorHAnsi" w:eastAsiaTheme="minorHAnsi" w:hAnsiTheme="majorHAnsi" w:cs="GTWalsheimProLight"/>
        </w:rPr>
        <w:t>20</w:t>
      </w:r>
      <w:r w:rsidRPr="00805670">
        <w:rPr>
          <w:rFonts w:asciiTheme="majorHAnsi" w:eastAsiaTheme="minorHAnsi" w:hAnsiTheme="majorHAnsi" w:cs="GTWalsheimProLight"/>
        </w:rPr>
        <w:t>20</w:t>
      </w:r>
      <w:r>
        <w:rPr>
          <w:rFonts w:asciiTheme="majorHAnsi" w:eastAsiaTheme="minorHAnsi" w:hAnsiTheme="majorHAnsi" w:cs="GTWalsheimProLight"/>
        </w:rPr>
        <w:t>.</w:t>
      </w:r>
    </w:p>
    <w:p w:rsidR="00805670" w:rsidRDefault="00805670" w:rsidP="00805670">
      <w:pPr>
        <w:autoSpaceDE w:val="0"/>
        <w:autoSpaceDN w:val="0"/>
        <w:adjustRightInd w:val="0"/>
        <w:spacing w:after="0" w:line="240" w:lineRule="auto"/>
        <w:rPr>
          <w:rFonts w:asciiTheme="majorHAnsi" w:eastAsiaTheme="minorHAnsi" w:hAnsiTheme="majorHAnsi" w:cs="GTWalsheimProLight"/>
        </w:rPr>
      </w:pPr>
    </w:p>
    <w:p w:rsidR="00805670" w:rsidRPr="00E73202" w:rsidRDefault="00805670" w:rsidP="00805670">
      <w:pPr>
        <w:autoSpaceDE w:val="0"/>
        <w:autoSpaceDN w:val="0"/>
        <w:adjustRightInd w:val="0"/>
        <w:spacing w:after="0" w:line="240" w:lineRule="auto"/>
        <w:rPr>
          <w:rFonts w:asciiTheme="majorHAnsi" w:eastAsiaTheme="minorHAnsi" w:hAnsiTheme="majorHAnsi" w:cs="GTWalsheimProRegular"/>
          <w:i/>
        </w:rPr>
      </w:pPr>
      <w:r w:rsidRPr="00E73202">
        <w:rPr>
          <w:rFonts w:asciiTheme="majorHAnsi" w:eastAsiaTheme="minorHAnsi" w:hAnsiTheme="majorHAnsi" w:cs="GTWalsheimProLight"/>
          <w:i/>
        </w:rPr>
        <w:t xml:space="preserve">- </w:t>
      </w:r>
      <w:r w:rsidRPr="00E73202">
        <w:rPr>
          <w:rFonts w:asciiTheme="majorHAnsi" w:eastAsiaTheme="minorHAnsi" w:hAnsiTheme="majorHAnsi" w:cs="GTWalsheimProRegular"/>
          <w:i/>
        </w:rPr>
        <w:t>Jeśli sprawdzą się harmonogramy poszczególnych województw, w 2017 roku dystrybucja środków</w:t>
      </w:r>
    </w:p>
    <w:p w:rsidR="00805670" w:rsidRDefault="00805670" w:rsidP="00805670">
      <w:pPr>
        <w:autoSpaceDE w:val="0"/>
        <w:autoSpaceDN w:val="0"/>
        <w:adjustRightInd w:val="0"/>
        <w:spacing w:after="0" w:line="240" w:lineRule="auto"/>
        <w:rPr>
          <w:rFonts w:asciiTheme="majorHAnsi" w:eastAsiaTheme="minorHAnsi" w:hAnsiTheme="majorHAnsi" w:cs="GTWalsheimProRegular"/>
        </w:rPr>
      </w:pPr>
      <w:r w:rsidRPr="00E73202">
        <w:rPr>
          <w:rFonts w:asciiTheme="majorHAnsi" w:eastAsiaTheme="minorHAnsi" w:hAnsiTheme="majorHAnsi" w:cs="GTWalsheimProRegular"/>
          <w:i/>
        </w:rPr>
        <w:t>unijnych dla przedsiębiorców w ramach RPO nieco przyspies</w:t>
      </w:r>
      <w:r w:rsidR="00E73202">
        <w:rPr>
          <w:rFonts w:asciiTheme="majorHAnsi" w:eastAsiaTheme="minorHAnsi" w:hAnsiTheme="majorHAnsi" w:cs="GTWalsheimProRegular"/>
          <w:i/>
        </w:rPr>
        <w:t xml:space="preserve">zy </w:t>
      </w:r>
      <w:r w:rsidR="00753A44">
        <w:rPr>
          <w:rFonts w:asciiTheme="majorHAnsi" w:eastAsiaTheme="minorHAnsi" w:hAnsiTheme="majorHAnsi" w:cs="GTWalsheimProRegular"/>
          <w:i/>
        </w:rPr>
        <w:t>–</w:t>
      </w:r>
      <w:r w:rsidR="00E73202">
        <w:rPr>
          <w:rFonts w:asciiTheme="majorHAnsi" w:eastAsiaTheme="minorHAnsi" w:hAnsiTheme="majorHAnsi" w:cs="GTWalsheimProRegular"/>
          <w:i/>
        </w:rPr>
        <w:t xml:space="preserve"> </w:t>
      </w:r>
      <w:r w:rsidR="008A1C32">
        <w:rPr>
          <w:rFonts w:asciiTheme="majorHAnsi" w:eastAsiaTheme="minorHAnsi" w:hAnsiTheme="majorHAnsi" w:cs="GTWalsheimProRegular"/>
        </w:rPr>
        <w:t>mówi</w:t>
      </w:r>
      <w:r w:rsidR="00E73202" w:rsidRPr="00E73202">
        <w:rPr>
          <w:rFonts w:asciiTheme="majorHAnsi" w:eastAsiaTheme="minorHAnsi" w:hAnsiTheme="majorHAnsi" w:cs="GTWalsheimProRegular"/>
        </w:rPr>
        <w:t xml:space="preserve"> </w:t>
      </w:r>
      <w:r w:rsidR="00E73202" w:rsidRPr="00E73202">
        <w:rPr>
          <w:rFonts w:asciiTheme="majorHAnsi" w:eastAsiaTheme="minorHAnsi" w:hAnsiTheme="majorHAnsi" w:cs="GTWalsheimProRegular"/>
          <w:b/>
        </w:rPr>
        <w:t>Jacek Błażejewski</w:t>
      </w:r>
      <w:r w:rsidR="00E73202" w:rsidRPr="00E73202">
        <w:rPr>
          <w:rFonts w:asciiTheme="majorHAnsi" w:eastAsiaTheme="minorHAnsi" w:hAnsiTheme="majorHAnsi" w:cs="GTWalsheimProRegular"/>
        </w:rPr>
        <w:t xml:space="preserve">, Partner w </w:t>
      </w:r>
      <w:r w:rsidR="000C1C18">
        <w:rPr>
          <w:rFonts w:asciiTheme="majorHAnsi" w:eastAsiaTheme="minorHAnsi" w:hAnsiTheme="majorHAnsi" w:cs="GTWalsheimProRegular"/>
        </w:rPr>
        <w:t xml:space="preserve">Departamencie Doradztwa Europejskiego w </w:t>
      </w:r>
      <w:r w:rsidR="00E73202" w:rsidRPr="00E73202">
        <w:rPr>
          <w:rFonts w:asciiTheme="majorHAnsi" w:eastAsiaTheme="minorHAnsi" w:hAnsiTheme="majorHAnsi" w:cs="GTWalsheimProRegular"/>
        </w:rPr>
        <w:t>Grant Thornton</w:t>
      </w:r>
      <w:r w:rsidR="00E73202" w:rsidRPr="00E73202">
        <w:rPr>
          <w:rFonts w:asciiTheme="majorHAnsi" w:eastAsiaTheme="minorHAnsi" w:hAnsiTheme="majorHAnsi" w:cs="GTWalsheimProRegular"/>
          <w:i/>
        </w:rPr>
        <w:t xml:space="preserve">. </w:t>
      </w:r>
      <w:r w:rsidR="00E73202">
        <w:rPr>
          <w:rFonts w:asciiTheme="majorHAnsi" w:eastAsiaTheme="minorHAnsi" w:hAnsiTheme="majorHAnsi" w:cs="GTWalsheimProRegular"/>
          <w:i/>
        </w:rPr>
        <w:t xml:space="preserve">- </w:t>
      </w:r>
      <w:r w:rsidRPr="00E73202">
        <w:rPr>
          <w:rFonts w:asciiTheme="majorHAnsi" w:eastAsiaTheme="minorHAnsi" w:hAnsiTheme="majorHAnsi" w:cs="GTWalsheimProRegular"/>
          <w:i/>
        </w:rPr>
        <w:t xml:space="preserve">Tempo rozdzielania wsparcia </w:t>
      </w:r>
      <w:r w:rsidR="00E73202">
        <w:rPr>
          <w:rFonts w:asciiTheme="majorHAnsi" w:eastAsiaTheme="minorHAnsi" w:hAnsiTheme="majorHAnsi" w:cs="GTWalsheimProRegular"/>
          <w:i/>
        </w:rPr>
        <w:t xml:space="preserve">wciąż </w:t>
      </w:r>
      <w:r w:rsidRPr="00E73202">
        <w:rPr>
          <w:rFonts w:asciiTheme="majorHAnsi" w:eastAsiaTheme="minorHAnsi" w:hAnsiTheme="majorHAnsi" w:cs="GTWalsheimProRegular"/>
          <w:i/>
        </w:rPr>
        <w:t xml:space="preserve">jest jednak dalekie od zadowalającego. Nadal są województwa, w których łączna wartość uruchomionych bądź zakończonych naborów na koniec 2017 r. nie przekroczy nawet 20 proc. całkowitej kwoty przeznaczonej dla przedsiębiorców na lata 2014-2020. Województwa te muszą koniecznie przyspieszyć swoje procedury </w:t>
      </w:r>
      <w:r w:rsidR="00E73202" w:rsidRPr="00E73202">
        <w:rPr>
          <w:rFonts w:asciiTheme="majorHAnsi" w:eastAsiaTheme="minorHAnsi" w:hAnsiTheme="majorHAnsi" w:cs="GTWalsheimProRegular"/>
          <w:i/>
        </w:rPr>
        <w:t>–</w:t>
      </w:r>
      <w:r w:rsidRPr="00E73202">
        <w:rPr>
          <w:rFonts w:asciiTheme="majorHAnsi" w:eastAsiaTheme="minorHAnsi" w:hAnsiTheme="majorHAnsi" w:cs="GTWalsheimProRegular"/>
          <w:i/>
        </w:rPr>
        <w:t xml:space="preserve"> </w:t>
      </w:r>
      <w:r w:rsidR="00580ED2">
        <w:rPr>
          <w:rFonts w:asciiTheme="majorHAnsi" w:eastAsiaTheme="minorHAnsi" w:hAnsiTheme="majorHAnsi" w:cs="GTWalsheimProRegular"/>
        </w:rPr>
        <w:t xml:space="preserve">dodaje. </w:t>
      </w:r>
    </w:p>
    <w:p w:rsidR="001D10E3" w:rsidRDefault="001D10E3" w:rsidP="001D10E3">
      <w:pPr>
        <w:pStyle w:val="Tekstpodstawowy"/>
        <w:spacing w:after="0" w:line="240" w:lineRule="auto"/>
        <w:jc w:val="both"/>
        <w:rPr>
          <w:rFonts w:ascii="Cambria" w:eastAsia="Calibri" w:hAnsi="Cambria" w:cs="Times New Roman"/>
          <w:szCs w:val="22"/>
          <w:lang w:val="pl-PL"/>
        </w:rPr>
      </w:pPr>
    </w:p>
    <w:p w:rsidR="00667AC4" w:rsidRDefault="005E1EA4" w:rsidP="001D10E3">
      <w:pPr>
        <w:pStyle w:val="Tekstpodstawowy"/>
        <w:spacing w:after="0" w:line="240" w:lineRule="auto"/>
        <w:jc w:val="both"/>
        <w:rPr>
          <w:rFonts w:ascii="Cambria" w:eastAsia="Calibri" w:hAnsi="Cambria" w:cs="Times New Roman"/>
          <w:szCs w:val="22"/>
          <w:lang w:val="pl-PL"/>
        </w:rPr>
      </w:pPr>
      <w:r>
        <w:rPr>
          <w:rFonts w:ascii="Cambria" w:eastAsia="Calibri" w:hAnsi="Cambria" w:cs="Times New Roman"/>
          <w:szCs w:val="22"/>
          <w:lang w:val="pl-PL"/>
        </w:rPr>
        <w:t>Tempo</w:t>
      </w:r>
      <w:r w:rsidR="00667AC4">
        <w:rPr>
          <w:rFonts w:ascii="Cambria" w:eastAsia="Calibri" w:hAnsi="Cambria" w:cs="Times New Roman"/>
          <w:szCs w:val="22"/>
          <w:lang w:val="pl-PL"/>
        </w:rPr>
        <w:t xml:space="preserve"> wdrażania dotacji unijnych w ramach Regionalnych Programów Operacyjnych</w:t>
      </w:r>
      <w:r>
        <w:rPr>
          <w:rFonts w:ascii="Cambria" w:eastAsia="Calibri" w:hAnsi="Cambria" w:cs="Times New Roman"/>
          <w:szCs w:val="22"/>
          <w:lang w:val="pl-PL"/>
        </w:rPr>
        <w:t xml:space="preserve"> jest na tyle niskie, że spora grupa przedsiębiorców wybiera dofinansowanie z programów realizowanych przez państwo. </w:t>
      </w:r>
    </w:p>
    <w:p w:rsidR="001D10E3" w:rsidRDefault="001D10E3" w:rsidP="001D10E3">
      <w:pPr>
        <w:pStyle w:val="Tekstpodstawowy"/>
        <w:spacing w:after="0" w:line="240" w:lineRule="auto"/>
        <w:jc w:val="both"/>
        <w:rPr>
          <w:rFonts w:ascii="Cambria" w:eastAsia="Calibri" w:hAnsi="Cambria" w:cs="Times New Roman"/>
          <w:szCs w:val="22"/>
          <w:lang w:val="pl-PL"/>
        </w:rPr>
      </w:pPr>
    </w:p>
    <w:p w:rsidR="008A1C32" w:rsidRPr="008A1C32" w:rsidRDefault="008A1C32" w:rsidP="008A1C32">
      <w:pPr>
        <w:autoSpaceDE w:val="0"/>
        <w:autoSpaceDN w:val="0"/>
        <w:adjustRightInd w:val="0"/>
        <w:spacing w:after="0" w:line="240" w:lineRule="auto"/>
        <w:rPr>
          <w:rFonts w:asciiTheme="majorHAnsi" w:eastAsiaTheme="minorHAnsi" w:hAnsiTheme="majorHAnsi" w:cs="GTWalsheimProRegular"/>
          <w:szCs w:val="20"/>
        </w:rPr>
      </w:pPr>
      <w:r>
        <w:rPr>
          <w:rFonts w:asciiTheme="majorHAnsi" w:eastAsiaTheme="minorHAnsi" w:hAnsiTheme="majorHAnsi" w:cs="GTWalsheimProRegular"/>
          <w:szCs w:val="20"/>
        </w:rPr>
        <w:t xml:space="preserve">- </w:t>
      </w:r>
      <w:r w:rsidRPr="00667AC4">
        <w:rPr>
          <w:rFonts w:asciiTheme="majorHAnsi" w:eastAsiaTheme="minorHAnsi" w:hAnsiTheme="majorHAnsi" w:cs="GTWalsheimProRegular"/>
          <w:i/>
          <w:szCs w:val="20"/>
        </w:rPr>
        <w:t xml:space="preserve">W przygotowywaniu konkursów dla firm w ramach RPO, zwłaszcza na wsparcie innowacyjnego rozwoju, ważne jest, by warunki konkursowe i zasady korzystania z unijnych środków nie były mniej korzystne niż konkursy ogłaszane przez Narodowe Centrum Badań i Rozwoju. Niestety tak się nie dzieje. Przedsiębiorcy, którzy chcą rozwijać się w oparciu o współpracę biznesu z nauką, </w:t>
      </w:r>
      <w:r w:rsidR="00A24431">
        <w:rPr>
          <w:rFonts w:asciiTheme="majorHAnsi" w:eastAsiaTheme="minorHAnsi" w:hAnsiTheme="majorHAnsi" w:cs="GTWalsheimProRegular"/>
          <w:i/>
          <w:szCs w:val="20"/>
        </w:rPr>
        <w:t>chętniej korzystają ze wsparcia</w:t>
      </w:r>
      <w:r w:rsidRPr="00667AC4">
        <w:rPr>
          <w:rFonts w:asciiTheme="majorHAnsi" w:eastAsiaTheme="minorHAnsi" w:hAnsiTheme="majorHAnsi" w:cs="GTWalsheimProRegular"/>
          <w:i/>
          <w:szCs w:val="20"/>
        </w:rPr>
        <w:t xml:space="preserve"> </w:t>
      </w:r>
      <w:proofErr w:type="spellStart"/>
      <w:r w:rsidRPr="00667AC4">
        <w:rPr>
          <w:rFonts w:asciiTheme="majorHAnsi" w:eastAsiaTheme="minorHAnsi" w:hAnsiTheme="majorHAnsi" w:cs="GTWalsheimProRegular"/>
          <w:i/>
          <w:szCs w:val="20"/>
        </w:rPr>
        <w:t>NCBiR</w:t>
      </w:r>
      <w:proofErr w:type="spellEnd"/>
      <w:r w:rsidRPr="00667AC4">
        <w:rPr>
          <w:rFonts w:asciiTheme="majorHAnsi" w:eastAsiaTheme="minorHAnsi" w:hAnsiTheme="majorHAnsi" w:cs="GTWalsheimProRegular"/>
          <w:i/>
          <w:szCs w:val="20"/>
        </w:rPr>
        <w:t xml:space="preserve"> niż</w:t>
      </w:r>
      <w:r w:rsidR="00A24431">
        <w:rPr>
          <w:rFonts w:asciiTheme="majorHAnsi" w:eastAsiaTheme="minorHAnsi" w:hAnsiTheme="majorHAnsi" w:cs="GTWalsheimProRegular"/>
          <w:i/>
          <w:szCs w:val="20"/>
        </w:rPr>
        <w:t xml:space="preserve"> z konkursów ogłaszanych przez Urząd</w:t>
      </w:r>
      <w:r w:rsidRPr="00667AC4">
        <w:rPr>
          <w:rFonts w:asciiTheme="majorHAnsi" w:eastAsiaTheme="minorHAnsi" w:hAnsiTheme="majorHAnsi" w:cs="GTWalsheimProRegular"/>
          <w:i/>
          <w:szCs w:val="20"/>
        </w:rPr>
        <w:t xml:space="preserve"> </w:t>
      </w:r>
      <w:r w:rsidR="00A24431">
        <w:rPr>
          <w:rFonts w:asciiTheme="majorHAnsi" w:eastAsiaTheme="minorHAnsi" w:hAnsiTheme="majorHAnsi" w:cs="GTWalsheimProRegular"/>
          <w:i/>
          <w:szCs w:val="20"/>
        </w:rPr>
        <w:t>Marszałkowski</w:t>
      </w:r>
      <w:r w:rsidRPr="00667AC4">
        <w:rPr>
          <w:rFonts w:asciiTheme="majorHAnsi" w:eastAsiaTheme="minorHAnsi" w:hAnsiTheme="majorHAnsi" w:cs="GTWalsheimProRegular"/>
          <w:i/>
          <w:szCs w:val="20"/>
        </w:rPr>
        <w:t xml:space="preserve"> </w:t>
      </w:r>
      <w:r>
        <w:rPr>
          <w:rFonts w:asciiTheme="majorHAnsi" w:eastAsiaTheme="minorHAnsi" w:hAnsiTheme="majorHAnsi" w:cs="GTWalsheimProRegular"/>
          <w:szCs w:val="20"/>
        </w:rPr>
        <w:t xml:space="preserve">– </w:t>
      </w:r>
      <w:r>
        <w:rPr>
          <w:rFonts w:asciiTheme="majorHAnsi" w:eastAsiaTheme="minorHAnsi" w:hAnsiTheme="majorHAnsi" w:cs="GTWalsheimProRegular"/>
          <w:szCs w:val="20"/>
        </w:rPr>
        <w:lastRenderedPageBreak/>
        <w:t xml:space="preserve">komentuje dr </w:t>
      </w:r>
      <w:r w:rsidRPr="008A1C32">
        <w:rPr>
          <w:rFonts w:asciiTheme="majorHAnsi" w:eastAsiaTheme="minorHAnsi" w:hAnsiTheme="majorHAnsi" w:cs="GTWalsheimProRegular"/>
          <w:b/>
          <w:szCs w:val="20"/>
        </w:rPr>
        <w:t>Marcin Kilanowski</w:t>
      </w:r>
      <w:r>
        <w:rPr>
          <w:rFonts w:asciiTheme="majorHAnsi" w:eastAsiaTheme="minorHAnsi" w:hAnsiTheme="majorHAnsi" w:cs="GTWalsheimProRegular"/>
          <w:szCs w:val="20"/>
        </w:rPr>
        <w:t xml:space="preserve">, Wiceprezes Kujawsko-Pomorskiej Organizacji Pracodawców Lewiatan. </w:t>
      </w:r>
    </w:p>
    <w:p w:rsidR="008A1C32" w:rsidRDefault="008A1C32" w:rsidP="001D10E3">
      <w:pPr>
        <w:pStyle w:val="Tekstpodstawowy"/>
        <w:spacing w:after="0" w:line="240" w:lineRule="auto"/>
        <w:jc w:val="both"/>
        <w:rPr>
          <w:rFonts w:ascii="Cambria" w:eastAsia="Calibri" w:hAnsi="Cambria" w:cs="Times New Roman"/>
          <w:szCs w:val="22"/>
          <w:lang w:val="pl-PL"/>
        </w:rPr>
      </w:pPr>
    </w:p>
    <w:p w:rsidR="00667AC4" w:rsidRDefault="00667AC4" w:rsidP="001D10E3">
      <w:pPr>
        <w:pStyle w:val="Tekstpodstawowy"/>
        <w:spacing w:after="0" w:line="240" w:lineRule="auto"/>
        <w:jc w:val="both"/>
        <w:rPr>
          <w:rFonts w:ascii="Cambria" w:eastAsia="Calibri" w:hAnsi="Cambria" w:cs="Times New Roman"/>
          <w:szCs w:val="22"/>
          <w:lang w:val="pl-PL"/>
        </w:rPr>
      </w:pPr>
    </w:p>
    <w:p w:rsidR="00667AC4" w:rsidRPr="00667AC4" w:rsidRDefault="00667AC4" w:rsidP="001D10E3">
      <w:pPr>
        <w:pStyle w:val="Tekstpodstawowy"/>
        <w:spacing w:after="0" w:line="240" w:lineRule="auto"/>
        <w:jc w:val="both"/>
        <w:rPr>
          <w:rFonts w:ascii="Cambria" w:eastAsia="Calibri" w:hAnsi="Cambria" w:cs="Times New Roman"/>
          <w:b/>
          <w:szCs w:val="22"/>
          <w:lang w:val="pl-PL"/>
        </w:rPr>
      </w:pPr>
      <w:r w:rsidRPr="00667AC4">
        <w:rPr>
          <w:rFonts w:ascii="Cambria" w:eastAsia="Calibri" w:hAnsi="Cambria" w:cs="Times New Roman"/>
          <w:b/>
          <w:szCs w:val="22"/>
          <w:lang w:val="pl-PL"/>
        </w:rPr>
        <w:t>Województwo świętokrzyskie daje przykład</w:t>
      </w:r>
    </w:p>
    <w:p w:rsidR="00667AC4" w:rsidRDefault="00667AC4" w:rsidP="001D10E3">
      <w:pPr>
        <w:pStyle w:val="Tekstpodstawowy"/>
        <w:spacing w:after="0" w:line="240" w:lineRule="auto"/>
        <w:jc w:val="both"/>
        <w:rPr>
          <w:rFonts w:ascii="Cambria" w:eastAsia="Calibri" w:hAnsi="Cambria" w:cs="Times New Roman"/>
          <w:szCs w:val="22"/>
          <w:lang w:val="pl-PL"/>
        </w:rPr>
      </w:pPr>
    </w:p>
    <w:p w:rsidR="00667AC4" w:rsidRDefault="00667AC4" w:rsidP="00667AC4">
      <w:pPr>
        <w:autoSpaceDE w:val="0"/>
        <w:autoSpaceDN w:val="0"/>
        <w:adjustRightInd w:val="0"/>
        <w:spacing w:after="0" w:line="240" w:lineRule="auto"/>
        <w:rPr>
          <w:rFonts w:asciiTheme="majorHAnsi" w:eastAsiaTheme="minorHAnsi" w:hAnsiTheme="majorHAnsi" w:cs="GTWalsheimProRegular"/>
        </w:rPr>
      </w:pPr>
      <w:r>
        <w:rPr>
          <w:rFonts w:asciiTheme="majorHAnsi" w:eastAsiaTheme="minorHAnsi" w:hAnsiTheme="majorHAnsi" w:cs="GTWalsheimProRegular"/>
        </w:rPr>
        <w:t>Najefektywniej unijne dotacje dystrybuuje jak na razie województwo świętokrzyskie, które do końca 2017 roku rozdzieli bądź już rozdzieliło 35,2 proc. całej puli przeznaczonej dla przedsiębiorstw w pe</w:t>
      </w:r>
      <w:r w:rsidR="00D45E6F">
        <w:rPr>
          <w:rFonts w:asciiTheme="majorHAnsi" w:eastAsiaTheme="minorHAnsi" w:hAnsiTheme="majorHAnsi" w:cs="GTWalsheimProRegular"/>
        </w:rPr>
        <w:t>rspektywie finansowej 2014-</w:t>
      </w:r>
      <w:r w:rsidR="00C2357D">
        <w:rPr>
          <w:rFonts w:asciiTheme="majorHAnsi" w:eastAsiaTheme="minorHAnsi" w:hAnsiTheme="majorHAnsi" w:cs="GTWalsheimProRegular"/>
        </w:rPr>
        <w:t>20</w:t>
      </w:r>
      <w:r>
        <w:rPr>
          <w:rFonts w:asciiTheme="majorHAnsi" w:eastAsiaTheme="minorHAnsi" w:hAnsiTheme="majorHAnsi" w:cs="GTWalsheimProRegular"/>
        </w:rPr>
        <w:t>20. W samym 2017 roku włodarze tego regionu zamierzają uruchomić nabory na wnioski o dofinansowanie na łączną wartość 503,8 mln zł, co jest największą kwotą we wszystkich 16 województwach przeznaczoną na wsparcie lokalnego biznesu.</w:t>
      </w:r>
    </w:p>
    <w:p w:rsidR="00667AC4" w:rsidRDefault="00667AC4" w:rsidP="00667AC4">
      <w:pPr>
        <w:autoSpaceDE w:val="0"/>
        <w:autoSpaceDN w:val="0"/>
        <w:adjustRightInd w:val="0"/>
        <w:spacing w:after="0" w:line="240" w:lineRule="auto"/>
        <w:rPr>
          <w:rFonts w:asciiTheme="majorHAnsi" w:eastAsiaTheme="minorHAnsi" w:hAnsiTheme="majorHAnsi" w:cs="GTWalsheimProRegular"/>
          <w:i/>
        </w:rPr>
      </w:pPr>
    </w:p>
    <w:p w:rsidR="00667AC4" w:rsidRDefault="00667AC4" w:rsidP="00667AC4">
      <w:pPr>
        <w:pStyle w:val="Tekstpodstawowy"/>
        <w:spacing w:after="0" w:line="240" w:lineRule="auto"/>
        <w:jc w:val="both"/>
        <w:rPr>
          <w:rFonts w:ascii="Cambria" w:eastAsia="Calibri" w:hAnsi="Cambria" w:cs="Times New Roman"/>
          <w:szCs w:val="22"/>
          <w:lang w:val="pl-PL"/>
        </w:rPr>
      </w:pPr>
      <w:r>
        <w:rPr>
          <w:rFonts w:ascii="Cambria" w:eastAsia="Calibri" w:hAnsi="Cambria" w:cs="Times New Roman"/>
          <w:szCs w:val="22"/>
          <w:lang w:val="pl-PL"/>
        </w:rPr>
        <w:t>Ponad 30 proc. unijnych dotacji dla firm w</w:t>
      </w:r>
      <w:r w:rsidR="00D45E6F">
        <w:rPr>
          <w:rFonts w:ascii="Cambria" w:eastAsia="Calibri" w:hAnsi="Cambria" w:cs="Times New Roman"/>
          <w:szCs w:val="22"/>
          <w:lang w:val="pl-PL"/>
        </w:rPr>
        <w:t xml:space="preserve"> perspektywie finansowej 2014-</w:t>
      </w:r>
      <w:r w:rsidR="00C2357D">
        <w:rPr>
          <w:rFonts w:ascii="Cambria" w:eastAsia="Calibri" w:hAnsi="Cambria" w:cs="Times New Roman"/>
          <w:szCs w:val="22"/>
          <w:lang w:val="pl-PL"/>
        </w:rPr>
        <w:t>20</w:t>
      </w:r>
      <w:r>
        <w:rPr>
          <w:rFonts w:ascii="Cambria" w:eastAsia="Calibri" w:hAnsi="Cambria" w:cs="Times New Roman"/>
          <w:szCs w:val="22"/>
          <w:lang w:val="pl-PL"/>
        </w:rPr>
        <w:t>20 rozdystrybuują bądź już to zrobiły również województwa lubelskie – 32,9 proc. oraz warmińsko-mazurskie – 32 proc.</w:t>
      </w:r>
    </w:p>
    <w:p w:rsidR="00667AC4" w:rsidRDefault="00667AC4" w:rsidP="00667AC4">
      <w:pPr>
        <w:pStyle w:val="Tekstpodstawowy"/>
        <w:spacing w:after="0" w:line="240" w:lineRule="auto"/>
        <w:jc w:val="both"/>
        <w:rPr>
          <w:rFonts w:ascii="Cambria" w:eastAsia="Calibri" w:hAnsi="Cambria" w:cs="Times New Roman"/>
          <w:szCs w:val="22"/>
          <w:lang w:val="pl-PL"/>
        </w:rPr>
      </w:pPr>
    </w:p>
    <w:p w:rsidR="001D10E3" w:rsidRDefault="001D10E3" w:rsidP="001D10E3">
      <w:pPr>
        <w:pStyle w:val="Tekstpodstawowy"/>
        <w:spacing w:after="0" w:line="240" w:lineRule="auto"/>
        <w:jc w:val="both"/>
        <w:rPr>
          <w:rFonts w:ascii="Cambria" w:eastAsia="Calibri" w:hAnsi="Cambria" w:cs="Times New Roman"/>
          <w:szCs w:val="22"/>
          <w:lang w:val="pl-PL"/>
        </w:rPr>
      </w:pPr>
      <w:r w:rsidRPr="00A24431">
        <w:rPr>
          <w:rFonts w:ascii="Cambria" w:eastAsia="Calibri" w:hAnsi="Cambria" w:cs="Times New Roman"/>
          <w:b/>
          <w:sz w:val="20"/>
          <w:szCs w:val="22"/>
          <w:lang w:val="pl-PL"/>
        </w:rPr>
        <w:t>Wykres 1.</w:t>
      </w:r>
      <w:r w:rsidRPr="00A24431">
        <w:rPr>
          <w:rFonts w:ascii="Cambria" w:eastAsia="Calibri" w:hAnsi="Cambria" w:cs="Times New Roman"/>
          <w:sz w:val="20"/>
          <w:szCs w:val="22"/>
          <w:lang w:val="pl-PL"/>
        </w:rPr>
        <w:t xml:space="preserve"> </w:t>
      </w:r>
      <w:r w:rsidRPr="00A24431">
        <w:rPr>
          <w:rFonts w:ascii="Cambria" w:eastAsia="Calibri" w:hAnsi="Cambria" w:cs="Times New Roman"/>
          <w:i/>
          <w:sz w:val="20"/>
          <w:szCs w:val="22"/>
          <w:lang w:val="pl-PL"/>
        </w:rPr>
        <w:t xml:space="preserve">Wartość wsparcia dla firm w ramach RPO w latach 2014-2017 (już rozdzielonego lub planowanego do końca 2017 r.) w relacji do ogólnej wartości planowanego wsparcia dla firm </w:t>
      </w:r>
      <w:r w:rsidR="00B42ED4" w:rsidRPr="00A24431">
        <w:rPr>
          <w:rFonts w:ascii="Cambria" w:eastAsia="Calibri" w:hAnsi="Cambria" w:cs="Times New Roman"/>
          <w:i/>
          <w:sz w:val="20"/>
          <w:szCs w:val="22"/>
          <w:lang w:val="pl-PL"/>
        </w:rPr>
        <w:br/>
      </w:r>
      <w:r w:rsidRPr="00A24431">
        <w:rPr>
          <w:rFonts w:ascii="Cambria" w:eastAsia="Calibri" w:hAnsi="Cambria" w:cs="Times New Roman"/>
          <w:i/>
          <w:sz w:val="20"/>
          <w:szCs w:val="22"/>
          <w:lang w:val="pl-PL"/>
        </w:rPr>
        <w:t>w ramach RPO na lata 2014-2020 (w proc.)</w:t>
      </w:r>
    </w:p>
    <w:p w:rsidR="001D10E3" w:rsidRDefault="001D10E3" w:rsidP="00805670">
      <w:pPr>
        <w:autoSpaceDE w:val="0"/>
        <w:autoSpaceDN w:val="0"/>
        <w:adjustRightInd w:val="0"/>
        <w:spacing w:after="0" w:line="240" w:lineRule="auto"/>
        <w:rPr>
          <w:rFonts w:asciiTheme="majorHAnsi" w:eastAsiaTheme="minorHAnsi" w:hAnsiTheme="majorHAnsi" w:cs="GTWalsheimProRegular"/>
        </w:rPr>
      </w:pPr>
      <w:r>
        <w:rPr>
          <w:rFonts w:ascii="Cambria" w:hAnsi="Cambria"/>
          <w:noProof/>
          <w:lang w:eastAsia="pl-PL"/>
        </w:rPr>
        <w:drawing>
          <wp:inline distT="0" distB="0" distL="0" distR="0" wp14:anchorId="390C6755" wp14:editId="2BE503F8">
            <wp:extent cx="5762625" cy="32575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57550"/>
                    </a:xfrm>
                    <a:prstGeom prst="rect">
                      <a:avLst/>
                    </a:prstGeom>
                    <a:noFill/>
                    <a:ln>
                      <a:noFill/>
                    </a:ln>
                  </pic:spPr>
                </pic:pic>
              </a:graphicData>
            </a:graphic>
          </wp:inline>
        </w:drawing>
      </w:r>
    </w:p>
    <w:p w:rsidR="00227E66" w:rsidRDefault="00227E66" w:rsidP="003B4990">
      <w:pPr>
        <w:pStyle w:val="Tekstpodstawowy"/>
        <w:spacing w:after="0" w:line="240" w:lineRule="auto"/>
        <w:jc w:val="both"/>
        <w:rPr>
          <w:rFonts w:ascii="Cambria" w:eastAsia="Calibri" w:hAnsi="Cambria" w:cs="Times New Roman"/>
          <w:szCs w:val="22"/>
          <w:lang w:val="pl-PL"/>
        </w:rPr>
      </w:pPr>
    </w:p>
    <w:p w:rsidR="006C522C" w:rsidRDefault="006C522C" w:rsidP="003B4990">
      <w:pPr>
        <w:pStyle w:val="Tekstpodstawowy"/>
        <w:spacing w:after="0" w:line="240" w:lineRule="auto"/>
        <w:jc w:val="both"/>
        <w:rPr>
          <w:rFonts w:ascii="Cambria" w:eastAsia="Calibri" w:hAnsi="Cambria" w:cs="Times New Roman"/>
          <w:szCs w:val="22"/>
          <w:lang w:val="pl-PL"/>
        </w:rPr>
      </w:pPr>
      <w:r>
        <w:rPr>
          <w:rFonts w:ascii="Cambria" w:eastAsia="Calibri" w:hAnsi="Cambria" w:cs="Times New Roman"/>
          <w:szCs w:val="22"/>
          <w:lang w:val="pl-PL"/>
        </w:rPr>
        <w:t xml:space="preserve">Na przeciwnym biegunie </w:t>
      </w:r>
      <w:r w:rsidR="00227E66">
        <w:rPr>
          <w:rFonts w:ascii="Cambria" w:eastAsia="Calibri" w:hAnsi="Cambria" w:cs="Times New Roman"/>
          <w:szCs w:val="22"/>
          <w:lang w:val="pl-PL"/>
        </w:rPr>
        <w:t>znajduje się z kolei województwo kujawsko-pomorskie</w:t>
      </w:r>
      <w:r w:rsidR="00777B77">
        <w:rPr>
          <w:rFonts w:ascii="Cambria" w:eastAsia="Calibri" w:hAnsi="Cambria" w:cs="Times New Roman"/>
          <w:szCs w:val="22"/>
          <w:lang w:val="pl-PL"/>
        </w:rPr>
        <w:t xml:space="preserve">, gdzie proces uruchamiania </w:t>
      </w:r>
      <w:r w:rsidR="00EF19D9">
        <w:rPr>
          <w:rFonts w:ascii="Cambria" w:eastAsia="Calibri" w:hAnsi="Cambria" w:cs="Times New Roman"/>
          <w:szCs w:val="22"/>
          <w:lang w:val="pl-PL"/>
        </w:rPr>
        <w:t>dotacji</w:t>
      </w:r>
      <w:r w:rsidR="00777B77">
        <w:rPr>
          <w:rFonts w:ascii="Cambria" w:eastAsia="Calibri" w:hAnsi="Cambria" w:cs="Times New Roman"/>
          <w:szCs w:val="22"/>
          <w:lang w:val="pl-PL"/>
        </w:rPr>
        <w:t xml:space="preserve"> unijnych</w:t>
      </w:r>
      <w:r w:rsidR="00EF19D9">
        <w:rPr>
          <w:rFonts w:ascii="Cambria" w:eastAsia="Calibri" w:hAnsi="Cambria" w:cs="Times New Roman"/>
          <w:szCs w:val="22"/>
          <w:lang w:val="pl-PL"/>
        </w:rPr>
        <w:t xml:space="preserve"> dla firm</w:t>
      </w:r>
      <w:r w:rsidR="00777B77">
        <w:rPr>
          <w:rFonts w:ascii="Cambria" w:eastAsia="Calibri" w:hAnsi="Cambria" w:cs="Times New Roman"/>
          <w:szCs w:val="22"/>
          <w:lang w:val="pl-PL"/>
        </w:rPr>
        <w:t xml:space="preserve"> przebiega bardzo wolno. </w:t>
      </w:r>
      <w:r w:rsidR="00EF19D9">
        <w:rPr>
          <w:rFonts w:ascii="Cambria" w:eastAsia="Calibri" w:hAnsi="Cambria" w:cs="Times New Roman"/>
          <w:szCs w:val="22"/>
          <w:lang w:val="pl-PL"/>
        </w:rPr>
        <w:t xml:space="preserve">Do końca 2017 roku zostanie wykorzystane jedynie 13,2 proc. środków z Brukseli przeznaczonych dla przedsiębiorstw </w:t>
      </w:r>
      <w:r w:rsidR="00B42ED4">
        <w:rPr>
          <w:rFonts w:ascii="Cambria" w:eastAsia="Calibri" w:hAnsi="Cambria" w:cs="Times New Roman"/>
          <w:szCs w:val="22"/>
          <w:lang w:val="pl-PL"/>
        </w:rPr>
        <w:br/>
      </w:r>
      <w:r w:rsidR="00EF19D9">
        <w:rPr>
          <w:rFonts w:ascii="Cambria" w:eastAsia="Calibri" w:hAnsi="Cambria" w:cs="Times New Roman"/>
          <w:szCs w:val="22"/>
          <w:lang w:val="pl-PL"/>
        </w:rPr>
        <w:t>w ramach RPO.</w:t>
      </w:r>
    </w:p>
    <w:p w:rsidR="00EF19D9" w:rsidRDefault="00EF19D9" w:rsidP="003B4990">
      <w:pPr>
        <w:pStyle w:val="Tekstpodstawowy"/>
        <w:spacing w:after="0" w:line="240" w:lineRule="auto"/>
        <w:jc w:val="both"/>
        <w:rPr>
          <w:rFonts w:ascii="Cambria" w:eastAsia="Calibri" w:hAnsi="Cambria" w:cs="Times New Roman"/>
          <w:szCs w:val="22"/>
          <w:lang w:val="pl-PL"/>
        </w:rPr>
      </w:pPr>
    </w:p>
    <w:p w:rsidR="0045239E" w:rsidRPr="0045239E" w:rsidRDefault="00EF19D9" w:rsidP="0045239E">
      <w:pPr>
        <w:pStyle w:val="Tekstpodstawowy"/>
        <w:spacing w:after="0" w:line="240" w:lineRule="auto"/>
        <w:jc w:val="both"/>
        <w:rPr>
          <w:rFonts w:asciiTheme="majorHAnsi" w:hAnsiTheme="majorHAnsi"/>
          <w:i/>
          <w:lang w:val="pl-PL"/>
        </w:rPr>
      </w:pPr>
      <w:r w:rsidRPr="001D10E3">
        <w:rPr>
          <w:rFonts w:asciiTheme="majorHAnsi" w:eastAsia="Calibri" w:hAnsiTheme="majorHAnsi" w:cs="Times New Roman"/>
          <w:szCs w:val="22"/>
          <w:lang w:val="pl-PL"/>
        </w:rPr>
        <w:t xml:space="preserve">- </w:t>
      </w:r>
      <w:r w:rsidR="001D10E3" w:rsidRPr="001D10E3">
        <w:rPr>
          <w:rFonts w:asciiTheme="majorHAnsi" w:hAnsiTheme="majorHAnsi"/>
          <w:i/>
          <w:lang w:val="pl-PL"/>
        </w:rPr>
        <w:t xml:space="preserve">Województwo kujawsko-pomorskie wypada niestety bardzo słabo. Wartość uruchomionych i zaplanowanych dotacji dla przedsiębiorców do końca 2017 roku plasuje region na ostatnim miejscu w kraju. </w:t>
      </w:r>
      <w:r w:rsidR="0045239E" w:rsidRPr="0045239E">
        <w:rPr>
          <w:rFonts w:asciiTheme="majorHAnsi" w:hAnsiTheme="majorHAnsi"/>
          <w:i/>
          <w:lang w:val="pl-PL"/>
        </w:rPr>
        <w:t>Sytuację pogarszają dodatkowo zamierzenia wspierania dotacjami tylko bardzo innowacyjnych działań rozwojowych i prac B&amp;R,</w:t>
      </w:r>
      <w:r w:rsidR="0045239E">
        <w:rPr>
          <w:rFonts w:asciiTheme="majorHAnsi" w:hAnsiTheme="majorHAnsi"/>
          <w:i/>
          <w:lang w:val="pl-PL"/>
        </w:rPr>
        <w:t xml:space="preserve"> </w:t>
      </w:r>
      <w:r w:rsidR="0045239E" w:rsidRPr="0045239E">
        <w:rPr>
          <w:rFonts w:asciiTheme="majorHAnsi" w:hAnsiTheme="majorHAnsi"/>
          <w:i/>
          <w:lang w:val="pl-PL"/>
        </w:rPr>
        <w:t>zamiast w większym stopniu po prostu wspierać rozwój oparty o innowacje, ale nie tylko te z najwyższej półki.</w:t>
      </w:r>
      <w:r w:rsidR="0045239E">
        <w:rPr>
          <w:rFonts w:asciiTheme="majorHAnsi" w:hAnsiTheme="majorHAnsi"/>
          <w:i/>
          <w:lang w:val="pl-PL"/>
        </w:rPr>
        <w:t xml:space="preserve"> </w:t>
      </w:r>
      <w:bookmarkStart w:id="0" w:name="_GoBack"/>
      <w:bookmarkEnd w:id="0"/>
      <w:r w:rsidR="0045239E" w:rsidRPr="0045239E">
        <w:rPr>
          <w:rFonts w:asciiTheme="majorHAnsi" w:hAnsiTheme="majorHAnsi"/>
          <w:i/>
          <w:lang w:val="pl-PL"/>
        </w:rPr>
        <w:t xml:space="preserve">Co więcej, zamiast dotacji </w:t>
      </w:r>
      <w:r w:rsidR="0045239E" w:rsidRPr="0045239E">
        <w:rPr>
          <w:rFonts w:asciiTheme="majorHAnsi" w:hAnsiTheme="majorHAnsi"/>
          <w:i/>
          <w:lang w:val="pl-PL"/>
        </w:rPr>
        <w:lastRenderedPageBreak/>
        <w:t>przedsiębiorcom oferowane w większości będą pożyczki, co jest niezgodne z powszechnymi oczekiwaniami firm.</w:t>
      </w:r>
    </w:p>
    <w:p w:rsidR="00EF19D9" w:rsidRDefault="001D10E3" w:rsidP="003B4990">
      <w:pPr>
        <w:pStyle w:val="Tekstpodstawowy"/>
        <w:spacing w:after="0" w:line="240" w:lineRule="auto"/>
        <w:jc w:val="both"/>
        <w:rPr>
          <w:rFonts w:asciiTheme="majorHAnsi" w:hAnsiTheme="majorHAnsi"/>
          <w:lang w:val="pl-PL"/>
        </w:rPr>
      </w:pPr>
      <w:r>
        <w:rPr>
          <w:rFonts w:asciiTheme="majorHAnsi" w:hAnsiTheme="majorHAnsi"/>
          <w:lang w:val="pl-PL"/>
        </w:rPr>
        <w:t>–</w:t>
      </w:r>
      <w:r w:rsidRPr="001D10E3">
        <w:rPr>
          <w:rFonts w:asciiTheme="majorHAnsi" w:hAnsiTheme="majorHAnsi"/>
          <w:lang w:val="pl-PL"/>
        </w:rPr>
        <w:t xml:space="preserve"> </w:t>
      </w:r>
      <w:r>
        <w:rPr>
          <w:rFonts w:asciiTheme="majorHAnsi" w:hAnsiTheme="majorHAnsi"/>
          <w:lang w:val="pl-PL"/>
        </w:rPr>
        <w:t xml:space="preserve">ocenia Jacek Błażejewski. </w:t>
      </w:r>
    </w:p>
    <w:p w:rsidR="00B42ED4" w:rsidRDefault="00B42ED4" w:rsidP="003B4990">
      <w:pPr>
        <w:pStyle w:val="Tekstpodstawowy"/>
        <w:spacing w:after="0" w:line="240" w:lineRule="auto"/>
        <w:jc w:val="both"/>
        <w:rPr>
          <w:rFonts w:asciiTheme="majorHAnsi" w:hAnsiTheme="majorHAnsi"/>
          <w:lang w:val="pl-PL"/>
        </w:rPr>
      </w:pPr>
    </w:p>
    <w:p w:rsidR="00450140" w:rsidRDefault="00450140" w:rsidP="00B42ED4">
      <w:pPr>
        <w:spacing w:line="240" w:lineRule="auto"/>
        <w:rPr>
          <w:rFonts w:asciiTheme="majorHAnsi" w:hAnsiTheme="majorHAnsi"/>
        </w:rPr>
      </w:pPr>
      <w:r>
        <w:rPr>
          <w:rFonts w:asciiTheme="majorHAnsi" w:hAnsiTheme="majorHAnsi"/>
        </w:rPr>
        <w:t>Lokalni przedsiębiorcy również zwracają uwagę na problem wydatkowania środków unijnych w województwie kujawsko-pomorskim.</w:t>
      </w:r>
    </w:p>
    <w:p w:rsidR="00450140" w:rsidRPr="00E863D0" w:rsidRDefault="00450140" w:rsidP="00B42ED4">
      <w:pPr>
        <w:spacing w:line="240" w:lineRule="auto"/>
        <w:rPr>
          <w:rFonts w:asciiTheme="majorHAnsi" w:hAnsiTheme="majorHAnsi"/>
        </w:rPr>
      </w:pPr>
      <w:r w:rsidRPr="00E863D0">
        <w:rPr>
          <w:rFonts w:asciiTheme="majorHAnsi" w:hAnsiTheme="majorHAnsi"/>
        </w:rPr>
        <w:t xml:space="preserve">- </w:t>
      </w:r>
      <w:r w:rsidR="00E863D0" w:rsidRPr="00E863D0">
        <w:rPr>
          <w:rFonts w:asciiTheme="majorHAnsi" w:hAnsiTheme="majorHAnsi"/>
          <w:i/>
        </w:rPr>
        <w:t>Sposób, w jaki realizowany j</w:t>
      </w:r>
      <w:r w:rsidR="00E863D0">
        <w:rPr>
          <w:rFonts w:asciiTheme="majorHAnsi" w:hAnsiTheme="majorHAnsi"/>
          <w:i/>
        </w:rPr>
        <w:t>est kujawsko-pomorski RPO</w:t>
      </w:r>
      <w:r w:rsidR="00C2357D">
        <w:rPr>
          <w:rFonts w:asciiTheme="majorHAnsi" w:hAnsiTheme="majorHAnsi"/>
          <w:i/>
        </w:rPr>
        <w:t>,</w:t>
      </w:r>
      <w:r w:rsidR="00E863D0">
        <w:rPr>
          <w:rFonts w:asciiTheme="majorHAnsi" w:hAnsiTheme="majorHAnsi"/>
          <w:i/>
        </w:rPr>
        <w:t xml:space="preserve"> jest </w:t>
      </w:r>
      <w:r w:rsidR="00E863D0" w:rsidRPr="00E863D0">
        <w:rPr>
          <w:rFonts w:asciiTheme="majorHAnsi" w:hAnsiTheme="majorHAnsi"/>
          <w:i/>
        </w:rPr>
        <w:t xml:space="preserve"> bardzo niepokojący. Wydłużył się łańcuch decyzyjności, a konkursy prowadzone są bardzo powoli </w:t>
      </w:r>
      <w:r w:rsidR="00E863D0" w:rsidRPr="00E863D0">
        <w:rPr>
          <w:rFonts w:asciiTheme="majorHAnsi" w:hAnsiTheme="majorHAnsi"/>
        </w:rPr>
        <w:t xml:space="preserve">– uważa </w:t>
      </w:r>
      <w:r w:rsidR="00E863D0" w:rsidRPr="00C15F3F">
        <w:rPr>
          <w:rFonts w:asciiTheme="majorHAnsi" w:hAnsiTheme="majorHAnsi"/>
          <w:b/>
        </w:rPr>
        <w:t>Michał Organiściak</w:t>
      </w:r>
      <w:r w:rsidR="00E863D0" w:rsidRPr="00E863D0">
        <w:rPr>
          <w:rFonts w:asciiTheme="majorHAnsi" w:hAnsiTheme="majorHAnsi"/>
        </w:rPr>
        <w:t xml:space="preserve">, Prezes Zarządu Copernicus Computing. </w:t>
      </w:r>
      <w:r w:rsidR="00C15F3F" w:rsidRPr="00C15F3F">
        <w:rPr>
          <w:rFonts w:asciiTheme="majorHAnsi" w:hAnsiTheme="majorHAnsi"/>
        </w:rPr>
        <w:t xml:space="preserve">- </w:t>
      </w:r>
      <w:r w:rsidR="00C15F3F" w:rsidRPr="00C15F3F">
        <w:rPr>
          <w:rFonts w:asciiTheme="majorHAnsi" w:hAnsiTheme="majorHAnsi"/>
          <w:i/>
        </w:rPr>
        <w:t xml:space="preserve">Po wejściu Polski do UE 1 maja 2004 roku już w grudniu tego samego roku </w:t>
      </w:r>
      <w:r w:rsidR="00C15F3F">
        <w:rPr>
          <w:rFonts w:asciiTheme="majorHAnsi" w:hAnsiTheme="majorHAnsi"/>
          <w:i/>
        </w:rPr>
        <w:t xml:space="preserve">Urząd Marszałkowski wypłacał </w:t>
      </w:r>
      <w:r w:rsidR="00C15F3F" w:rsidRPr="00C15F3F">
        <w:rPr>
          <w:rFonts w:asciiTheme="majorHAnsi" w:hAnsiTheme="majorHAnsi"/>
          <w:i/>
        </w:rPr>
        <w:t xml:space="preserve"> pierwsze środki z funduszy unijnych. Na tym tle fakt, że pierwszy konkurs dla przedsiębiorstw wciąż pozostaje nierozstrzygnięty, a proces preselekcji był dwukrotnie wydłużany, pozwala postawić tezę o </w:t>
      </w:r>
      <w:r w:rsidR="00C2357D">
        <w:rPr>
          <w:rFonts w:asciiTheme="majorHAnsi" w:hAnsiTheme="majorHAnsi"/>
          <w:i/>
        </w:rPr>
        <w:t>niskiej</w:t>
      </w:r>
      <w:r w:rsidR="00C15F3F" w:rsidRPr="00C15F3F">
        <w:rPr>
          <w:rFonts w:asciiTheme="majorHAnsi" w:hAnsiTheme="majorHAnsi"/>
          <w:i/>
        </w:rPr>
        <w:t xml:space="preserve"> sprawności we wdrażaniu RP</w:t>
      </w:r>
      <w:r w:rsidR="00C2357D">
        <w:rPr>
          <w:rFonts w:asciiTheme="majorHAnsi" w:hAnsiTheme="majorHAnsi"/>
          <w:i/>
        </w:rPr>
        <w:t>O</w:t>
      </w:r>
      <w:r w:rsidR="00C15F3F" w:rsidRPr="00C15F3F">
        <w:rPr>
          <w:rFonts w:asciiTheme="majorHAnsi" w:hAnsiTheme="majorHAnsi"/>
          <w:i/>
        </w:rPr>
        <w:t xml:space="preserve"> w województwie </w:t>
      </w:r>
      <w:r w:rsidR="00C15F3F" w:rsidRPr="00C15F3F">
        <w:rPr>
          <w:rFonts w:asciiTheme="majorHAnsi" w:hAnsiTheme="majorHAnsi"/>
        </w:rPr>
        <w:t xml:space="preserve">– </w:t>
      </w:r>
      <w:r w:rsidR="00C15F3F">
        <w:rPr>
          <w:rFonts w:asciiTheme="majorHAnsi" w:hAnsiTheme="majorHAnsi"/>
        </w:rPr>
        <w:t>ocenia</w:t>
      </w:r>
      <w:r w:rsidR="00C15F3F" w:rsidRPr="00C15F3F">
        <w:rPr>
          <w:rFonts w:asciiTheme="majorHAnsi" w:hAnsiTheme="majorHAnsi"/>
        </w:rPr>
        <w:t xml:space="preserve">. </w:t>
      </w:r>
    </w:p>
    <w:p w:rsidR="00227E66" w:rsidRDefault="00227E66" w:rsidP="003B4990">
      <w:pPr>
        <w:pStyle w:val="Tekstpodstawowy"/>
        <w:spacing w:after="0" w:line="240" w:lineRule="auto"/>
        <w:jc w:val="both"/>
        <w:rPr>
          <w:rFonts w:ascii="Cambria" w:eastAsia="Calibri" w:hAnsi="Cambria" w:cs="Times New Roman"/>
          <w:szCs w:val="22"/>
          <w:lang w:val="pl-PL"/>
        </w:rPr>
      </w:pPr>
    </w:p>
    <w:p w:rsidR="003B4990" w:rsidRPr="00DB1B8C" w:rsidRDefault="003B4990" w:rsidP="003B4990">
      <w:pPr>
        <w:pStyle w:val="Tekstpodstawowy"/>
        <w:spacing w:after="0" w:line="240" w:lineRule="auto"/>
        <w:jc w:val="both"/>
        <w:rPr>
          <w:b/>
          <w:szCs w:val="22"/>
          <w:u w:val="single"/>
          <w:lang w:val="pl-PL"/>
        </w:rPr>
      </w:pPr>
      <w:r w:rsidRPr="00DB1B8C">
        <w:rPr>
          <w:b/>
          <w:szCs w:val="22"/>
          <w:u w:val="single"/>
          <w:lang w:val="pl-PL"/>
        </w:rPr>
        <w:t>Kontakt dla mediów:</w:t>
      </w:r>
    </w:p>
    <w:p w:rsidR="003B4990" w:rsidRDefault="003B4990" w:rsidP="003B4990">
      <w:pPr>
        <w:pStyle w:val="Tekstpodstawowy"/>
        <w:spacing w:after="0" w:line="240" w:lineRule="auto"/>
        <w:jc w:val="both"/>
        <w:rPr>
          <w:szCs w:val="22"/>
          <w:lang w:val="pl-PL"/>
        </w:rPr>
      </w:pPr>
    </w:p>
    <w:p w:rsidR="003B4990" w:rsidRPr="004E299D" w:rsidRDefault="003B4990" w:rsidP="003B4990">
      <w:pPr>
        <w:pStyle w:val="Tekstpodstawowy"/>
        <w:spacing w:after="0" w:line="240" w:lineRule="auto"/>
        <w:jc w:val="both"/>
        <w:rPr>
          <w:szCs w:val="22"/>
          <w:u w:val="single"/>
          <w:lang w:val="pl-PL"/>
        </w:rPr>
      </w:pPr>
      <w:r w:rsidRPr="004E299D">
        <w:rPr>
          <w:szCs w:val="22"/>
          <w:u w:val="single"/>
          <w:lang w:val="pl-PL"/>
        </w:rPr>
        <w:t>Szymon Wróblewski</w:t>
      </w:r>
    </w:p>
    <w:p w:rsidR="003B4990" w:rsidRDefault="003B4990" w:rsidP="003B4990">
      <w:pPr>
        <w:pStyle w:val="Tekstpodstawowy"/>
        <w:spacing w:after="0" w:line="240" w:lineRule="auto"/>
        <w:jc w:val="both"/>
        <w:rPr>
          <w:szCs w:val="22"/>
          <w:lang w:val="pl-PL"/>
        </w:rPr>
      </w:pPr>
      <w:r w:rsidRPr="00DB1B8C">
        <w:rPr>
          <w:szCs w:val="22"/>
          <w:lang w:val="pl-PL"/>
        </w:rPr>
        <w:t>Partner Zarządzający</w:t>
      </w:r>
    </w:p>
    <w:p w:rsidR="003B4990" w:rsidRDefault="004E299D" w:rsidP="003B4990">
      <w:pPr>
        <w:pStyle w:val="Tekstpodstawowy"/>
        <w:spacing w:after="0" w:line="240" w:lineRule="auto"/>
        <w:jc w:val="both"/>
        <w:rPr>
          <w:szCs w:val="22"/>
          <w:lang w:val="pl-PL"/>
        </w:rPr>
      </w:pPr>
      <w:r>
        <w:rPr>
          <w:szCs w:val="22"/>
          <w:lang w:val="pl-PL"/>
        </w:rPr>
        <w:t>Doradztwo e</w:t>
      </w:r>
      <w:r w:rsidR="003B4990">
        <w:rPr>
          <w:szCs w:val="22"/>
          <w:lang w:val="pl-PL"/>
        </w:rPr>
        <w:t>uropejskie</w:t>
      </w:r>
    </w:p>
    <w:p w:rsidR="003B4990" w:rsidRPr="00753A44" w:rsidRDefault="003B4990" w:rsidP="003B4990">
      <w:pPr>
        <w:pStyle w:val="Tekstpodstawowy"/>
        <w:spacing w:after="0" w:line="240" w:lineRule="auto"/>
        <w:jc w:val="both"/>
        <w:rPr>
          <w:szCs w:val="22"/>
          <w:lang w:val="pl-PL"/>
        </w:rPr>
      </w:pPr>
      <w:r w:rsidRPr="00753A44">
        <w:rPr>
          <w:szCs w:val="22"/>
          <w:lang w:val="pl-PL"/>
        </w:rPr>
        <w:t>Grant Thornton</w:t>
      </w:r>
    </w:p>
    <w:p w:rsidR="003B4990" w:rsidRPr="00753A44" w:rsidRDefault="008F0D67" w:rsidP="003B4990">
      <w:pPr>
        <w:pStyle w:val="Tekstpodstawowy"/>
        <w:spacing w:after="0" w:line="240" w:lineRule="auto"/>
        <w:jc w:val="both"/>
        <w:rPr>
          <w:szCs w:val="22"/>
          <w:lang w:val="pl-PL"/>
        </w:rPr>
      </w:pPr>
      <w:r w:rsidRPr="00753A44">
        <w:rPr>
          <w:szCs w:val="22"/>
          <w:lang w:val="pl-PL"/>
        </w:rPr>
        <w:t>T +48 61 625 1</w:t>
      </w:r>
      <w:r w:rsidR="004E299D" w:rsidRPr="00753A44">
        <w:rPr>
          <w:szCs w:val="22"/>
          <w:lang w:val="pl-PL"/>
        </w:rPr>
        <w:t>146</w:t>
      </w:r>
    </w:p>
    <w:p w:rsidR="003B4990" w:rsidRPr="00D22D0B" w:rsidRDefault="004E299D" w:rsidP="003B4990">
      <w:pPr>
        <w:pStyle w:val="Tekstpodstawowy"/>
        <w:spacing w:after="0" w:line="240" w:lineRule="auto"/>
        <w:jc w:val="both"/>
        <w:rPr>
          <w:szCs w:val="22"/>
        </w:rPr>
      </w:pPr>
      <w:r>
        <w:rPr>
          <w:szCs w:val="22"/>
        </w:rPr>
        <w:t>M +48 601 728 685</w:t>
      </w:r>
    </w:p>
    <w:p w:rsidR="003B4990" w:rsidRPr="00D22D0B" w:rsidRDefault="003B4990" w:rsidP="003B4990">
      <w:pPr>
        <w:pStyle w:val="Tekstpodstawowy"/>
        <w:spacing w:after="0" w:line="240" w:lineRule="auto"/>
        <w:jc w:val="both"/>
        <w:rPr>
          <w:szCs w:val="22"/>
        </w:rPr>
      </w:pPr>
      <w:r w:rsidRPr="00D22D0B">
        <w:rPr>
          <w:szCs w:val="22"/>
        </w:rPr>
        <w:t xml:space="preserve">E </w:t>
      </w:r>
      <w:hyperlink r:id="rId9" w:history="1">
        <w:r w:rsidR="004E299D" w:rsidRPr="00546703">
          <w:rPr>
            <w:rStyle w:val="Hipercze"/>
            <w:szCs w:val="22"/>
          </w:rPr>
          <w:t>szymon.wroblewski@pl.gt.com</w:t>
        </w:r>
      </w:hyperlink>
    </w:p>
    <w:p w:rsidR="003B4990" w:rsidRPr="00D22D0B" w:rsidRDefault="003B4990" w:rsidP="003B4990">
      <w:pPr>
        <w:pStyle w:val="Tekstpodstawowy"/>
        <w:spacing w:after="0" w:line="240" w:lineRule="auto"/>
        <w:jc w:val="both"/>
        <w:rPr>
          <w:b/>
          <w:szCs w:val="22"/>
        </w:rPr>
      </w:pPr>
    </w:p>
    <w:p w:rsidR="003B4990" w:rsidRDefault="004E299D" w:rsidP="003B4990">
      <w:pPr>
        <w:pStyle w:val="Nagwek1"/>
        <w:spacing w:line="240" w:lineRule="auto"/>
        <w:jc w:val="both"/>
        <w:rPr>
          <w:rFonts w:ascii="Garamond" w:hAnsi="Garamond"/>
          <w:color w:val="000000"/>
          <w:sz w:val="22"/>
          <w:szCs w:val="22"/>
          <w:u w:val="single"/>
          <w:lang w:val="pl-PL"/>
        </w:rPr>
      </w:pPr>
      <w:r>
        <w:rPr>
          <w:rFonts w:ascii="Garamond" w:hAnsi="Garamond"/>
          <w:color w:val="000000"/>
          <w:sz w:val="22"/>
          <w:szCs w:val="22"/>
          <w:u w:val="single"/>
          <w:lang w:val="pl-PL"/>
        </w:rPr>
        <w:t>Jacek Błażejewski</w:t>
      </w:r>
    </w:p>
    <w:p w:rsidR="003B4990" w:rsidRDefault="004E299D" w:rsidP="003B4990">
      <w:pPr>
        <w:pStyle w:val="Tekstpodstawowy"/>
        <w:spacing w:after="0" w:line="240" w:lineRule="auto"/>
        <w:rPr>
          <w:lang w:val="pl-PL"/>
        </w:rPr>
      </w:pPr>
      <w:r>
        <w:rPr>
          <w:lang w:val="pl-PL"/>
        </w:rPr>
        <w:t>Partner</w:t>
      </w:r>
    </w:p>
    <w:p w:rsidR="004E299D" w:rsidRDefault="004E299D" w:rsidP="003B4990">
      <w:pPr>
        <w:pStyle w:val="Tekstpodstawowy"/>
        <w:spacing w:after="0" w:line="240" w:lineRule="auto"/>
        <w:rPr>
          <w:lang w:val="pl-PL"/>
        </w:rPr>
      </w:pPr>
      <w:r>
        <w:rPr>
          <w:lang w:val="pl-PL"/>
        </w:rPr>
        <w:t>Doradztwo europejskie</w:t>
      </w:r>
    </w:p>
    <w:p w:rsidR="003B4990" w:rsidRDefault="003B4990" w:rsidP="003B4990">
      <w:pPr>
        <w:pStyle w:val="Tekstpodstawowy"/>
        <w:spacing w:after="0" w:line="240" w:lineRule="auto"/>
        <w:rPr>
          <w:lang w:val="pl-PL"/>
        </w:rPr>
      </w:pPr>
      <w:r>
        <w:rPr>
          <w:lang w:val="pl-PL"/>
        </w:rPr>
        <w:t>Grant Thornton</w:t>
      </w:r>
    </w:p>
    <w:p w:rsidR="003B4990" w:rsidRPr="00D22D0B" w:rsidRDefault="004E299D" w:rsidP="003B4990">
      <w:pPr>
        <w:pStyle w:val="Tekstpodstawowy"/>
        <w:spacing w:after="0" w:line="240" w:lineRule="auto"/>
      </w:pPr>
      <w:r>
        <w:t>T +48 56 65 75 591</w:t>
      </w:r>
    </w:p>
    <w:p w:rsidR="003B4990" w:rsidRPr="00D22D0B" w:rsidRDefault="004E299D" w:rsidP="003B4990">
      <w:pPr>
        <w:pStyle w:val="Tekstpodstawowy"/>
        <w:spacing w:after="0" w:line="240" w:lineRule="auto"/>
      </w:pPr>
      <w:r>
        <w:t>M +48 602 195 324</w:t>
      </w:r>
    </w:p>
    <w:p w:rsidR="003B4990" w:rsidRPr="00D22D0B" w:rsidRDefault="003B4990" w:rsidP="003B4990">
      <w:pPr>
        <w:pStyle w:val="Tekstpodstawowy"/>
        <w:spacing w:after="0" w:line="240" w:lineRule="auto"/>
      </w:pPr>
      <w:r w:rsidRPr="00D22D0B">
        <w:t xml:space="preserve">E </w:t>
      </w:r>
      <w:hyperlink r:id="rId10" w:history="1">
        <w:r w:rsidR="008F0D67" w:rsidRPr="00546703">
          <w:rPr>
            <w:rStyle w:val="Hipercze"/>
          </w:rPr>
          <w:t>jacek.blazejewski@pl.gt.com</w:t>
        </w:r>
      </w:hyperlink>
    </w:p>
    <w:p w:rsidR="003B4990" w:rsidRPr="00D22D0B" w:rsidRDefault="003B4990" w:rsidP="003B4990">
      <w:pPr>
        <w:pStyle w:val="Nagwek1"/>
        <w:spacing w:line="240" w:lineRule="auto"/>
        <w:jc w:val="both"/>
        <w:rPr>
          <w:rFonts w:ascii="Garamond" w:hAnsi="Garamond"/>
          <w:color w:val="000000"/>
          <w:sz w:val="22"/>
          <w:szCs w:val="22"/>
          <w:u w:val="single"/>
        </w:rPr>
      </w:pPr>
    </w:p>
    <w:p w:rsidR="003B4990" w:rsidRPr="00687177" w:rsidRDefault="003B4990" w:rsidP="003B4990">
      <w:pPr>
        <w:pStyle w:val="Nagwek1"/>
        <w:spacing w:line="240" w:lineRule="auto"/>
        <w:jc w:val="both"/>
        <w:rPr>
          <w:rFonts w:ascii="Garamond" w:hAnsi="Garamond"/>
          <w:color w:val="000000"/>
          <w:sz w:val="22"/>
          <w:szCs w:val="22"/>
          <w:u w:val="single"/>
          <w:lang w:val="pl-PL"/>
        </w:rPr>
      </w:pPr>
      <w:r w:rsidRPr="00687177">
        <w:rPr>
          <w:rFonts w:ascii="Garamond" w:hAnsi="Garamond"/>
          <w:color w:val="000000"/>
          <w:sz w:val="22"/>
          <w:szCs w:val="22"/>
          <w:u w:val="single"/>
          <w:lang w:val="pl-PL"/>
        </w:rPr>
        <w:t>Jacek Kowalczyk</w:t>
      </w:r>
    </w:p>
    <w:p w:rsidR="003B4990" w:rsidRPr="00D22D0B" w:rsidRDefault="003B4990" w:rsidP="003B4990">
      <w:pPr>
        <w:pStyle w:val="Tekstpodstawowy"/>
        <w:spacing w:after="0" w:line="240" w:lineRule="auto"/>
        <w:rPr>
          <w:szCs w:val="22"/>
          <w:lang w:val="pl-PL"/>
        </w:rPr>
      </w:pPr>
      <w:r w:rsidRPr="00687177">
        <w:rPr>
          <w:szCs w:val="22"/>
          <w:lang w:val="pl-PL"/>
        </w:rPr>
        <w:t xml:space="preserve">Dyrektor ds. </w:t>
      </w:r>
      <w:proofErr w:type="spellStart"/>
      <w:r>
        <w:rPr>
          <w:szCs w:val="22"/>
          <w:lang w:val="pl-PL"/>
        </w:rPr>
        <w:t>Marektingu</w:t>
      </w:r>
      <w:proofErr w:type="spellEnd"/>
      <w:r>
        <w:rPr>
          <w:szCs w:val="22"/>
          <w:lang w:val="pl-PL"/>
        </w:rPr>
        <w:t xml:space="preserve"> i </w:t>
      </w:r>
      <w:r w:rsidRPr="00D22D0B">
        <w:rPr>
          <w:szCs w:val="22"/>
          <w:lang w:val="pl-PL"/>
        </w:rPr>
        <w:t>PR</w:t>
      </w:r>
    </w:p>
    <w:p w:rsidR="003B4990" w:rsidRPr="00322279" w:rsidRDefault="003B4990" w:rsidP="003B4990">
      <w:pPr>
        <w:pStyle w:val="Tekstpodstawowy"/>
        <w:spacing w:after="0" w:line="240" w:lineRule="auto"/>
        <w:rPr>
          <w:szCs w:val="22"/>
          <w:lang w:val="en-GB"/>
        </w:rPr>
      </w:pPr>
      <w:r w:rsidRPr="00322279">
        <w:rPr>
          <w:szCs w:val="22"/>
          <w:lang w:val="en-GB"/>
        </w:rPr>
        <w:t>Grant Thornton</w:t>
      </w:r>
    </w:p>
    <w:p w:rsidR="003B4990" w:rsidRDefault="003B4990" w:rsidP="003B4990">
      <w:pPr>
        <w:pStyle w:val="Nagwek1"/>
        <w:spacing w:line="240" w:lineRule="auto"/>
        <w:jc w:val="both"/>
        <w:rPr>
          <w:rFonts w:ascii="Garamond" w:hAnsi="Garamond"/>
          <w:color w:val="000000"/>
          <w:sz w:val="22"/>
          <w:szCs w:val="22"/>
          <w:lang w:val="de-DE"/>
        </w:rPr>
      </w:pPr>
      <w:r>
        <w:rPr>
          <w:rFonts w:ascii="Garamond" w:hAnsi="Garamond"/>
          <w:color w:val="000000"/>
          <w:sz w:val="22"/>
          <w:szCs w:val="22"/>
          <w:lang w:val="de-DE"/>
        </w:rPr>
        <w:t>T +48 22 205 48 41</w:t>
      </w:r>
    </w:p>
    <w:p w:rsidR="003B4990" w:rsidRPr="00687177" w:rsidRDefault="003B4990" w:rsidP="003B4990">
      <w:pPr>
        <w:pStyle w:val="Nagwek1"/>
        <w:spacing w:line="240" w:lineRule="auto"/>
        <w:jc w:val="both"/>
        <w:rPr>
          <w:rFonts w:ascii="Garamond" w:hAnsi="Garamond"/>
          <w:color w:val="000000"/>
          <w:sz w:val="22"/>
          <w:szCs w:val="22"/>
          <w:lang w:val="de-DE"/>
        </w:rPr>
      </w:pPr>
      <w:r>
        <w:rPr>
          <w:rFonts w:ascii="Garamond" w:hAnsi="Garamond"/>
          <w:color w:val="000000"/>
          <w:sz w:val="22"/>
          <w:szCs w:val="22"/>
          <w:lang w:val="de-DE"/>
        </w:rPr>
        <w:t>M</w:t>
      </w:r>
      <w:r w:rsidRPr="00687177">
        <w:rPr>
          <w:rFonts w:ascii="Garamond" w:hAnsi="Garamond"/>
          <w:color w:val="000000"/>
          <w:sz w:val="22"/>
          <w:szCs w:val="22"/>
          <w:lang w:val="de-DE"/>
        </w:rPr>
        <w:t xml:space="preserve"> </w:t>
      </w:r>
      <w:r>
        <w:rPr>
          <w:rFonts w:ascii="Garamond" w:hAnsi="Garamond"/>
          <w:color w:val="000000"/>
          <w:sz w:val="22"/>
          <w:szCs w:val="22"/>
          <w:lang w:val="de-DE"/>
        </w:rPr>
        <w:t xml:space="preserve">+48 </w:t>
      </w:r>
      <w:r w:rsidRPr="00687177">
        <w:rPr>
          <w:rFonts w:ascii="Garamond" w:hAnsi="Garamond"/>
          <w:color w:val="000000"/>
          <w:sz w:val="22"/>
          <w:szCs w:val="22"/>
          <w:lang w:val="de-DE"/>
        </w:rPr>
        <w:t>505 024 168</w:t>
      </w:r>
    </w:p>
    <w:p w:rsidR="003B4990" w:rsidRPr="00A2408B" w:rsidRDefault="003B4990" w:rsidP="003B4990">
      <w:pPr>
        <w:pStyle w:val="Tekstpodstawowy"/>
        <w:spacing w:after="0" w:line="240" w:lineRule="auto"/>
        <w:rPr>
          <w:szCs w:val="22"/>
        </w:rPr>
      </w:pPr>
      <w:r>
        <w:rPr>
          <w:color w:val="000000"/>
          <w:szCs w:val="22"/>
        </w:rPr>
        <w:t>E</w:t>
      </w:r>
      <w:r w:rsidRPr="00687177">
        <w:rPr>
          <w:color w:val="000000"/>
          <w:szCs w:val="22"/>
        </w:rPr>
        <w:t xml:space="preserve"> </w:t>
      </w:r>
      <w:hyperlink r:id="rId11" w:history="1">
        <w:r w:rsidRPr="00687177">
          <w:rPr>
            <w:rStyle w:val="Hipercze"/>
            <w:szCs w:val="22"/>
          </w:rPr>
          <w:t>jacek.kowalczyk@pl.gt.com</w:t>
        </w:r>
      </w:hyperlink>
    </w:p>
    <w:p w:rsidR="003B4990" w:rsidRDefault="003B4990" w:rsidP="003B4990">
      <w:pPr>
        <w:spacing w:after="0" w:line="240" w:lineRule="auto"/>
        <w:rPr>
          <w:rFonts w:ascii="Garamond" w:hAnsi="Garamond"/>
          <w:lang w:val="en-US"/>
        </w:rPr>
      </w:pPr>
    </w:p>
    <w:p w:rsidR="003B4990" w:rsidRDefault="003B4990" w:rsidP="003B4990">
      <w:pPr>
        <w:spacing w:after="0" w:line="240" w:lineRule="auto"/>
        <w:rPr>
          <w:rFonts w:ascii="Garamond" w:hAnsi="Garamond"/>
          <w:sz w:val="24"/>
          <w:szCs w:val="24"/>
          <w:lang w:val="en-US"/>
        </w:rPr>
      </w:pPr>
    </w:p>
    <w:p w:rsidR="003B4990" w:rsidRPr="00D22D0B" w:rsidRDefault="003B4990" w:rsidP="003B4990">
      <w:pPr>
        <w:spacing w:after="0" w:line="240" w:lineRule="auto"/>
        <w:rPr>
          <w:rFonts w:ascii="Garamond" w:hAnsi="Garamond"/>
          <w:sz w:val="24"/>
          <w:szCs w:val="24"/>
          <w:lang w:val="en-US"/>
        </w:rPr>
      </w:pPr>
    </w:p>
    <w:p w:rsidR="003B4990" w:rsidRPr="00D22D0B" w:rsidRDefault="003B4990" w:rsidP="003B4990">
      <w:pPr>
        <w:spacing w:after="0" w:line="240" w:lineRule="auto"/>
        <w:rPr>
          <w:rFonts w:ascii="Garamond" w:hAnsi="Garamond"/>
          <w:sz w:val="24"/>
          <w:szCs w:val="24"/>
          <w:lang w:val="en-US"/>
        </w:rPr>
      </w:pPr>
    </w:p>
    <w:p w:rsidR="003B4990" w:rsidRPr="00E70413" w:rsidRDefault="003B4990" w:rsidP="003B4990">
      <w:pPr>
        <w:spacing w:after="0" w:line="240" w:lineRule="auto"/>
        <w:jc w:val="center"/>
        <w:rPr>
          <w:rFonts w:ascii="Garamond" w:hAnsi="Garamond"/>
          <w:sz w:val="24"/>
          <w:szCs w:val="24"/>
        </w:rPr>
      </w:pPr>
      <w:r w:rsidRPr="00E70413">
        <w:rPr>
          <w:rFonts w:ascii="Garamond" w:hAnsi="Garamond"/>
          <w:sz w:val="24"/>
          <w:szCs w:val="24"/>
        </w:rPr>
        <w:t>******</w:t>
      </w:r>
    </w:p>
    <w:p w:rsidR="003B4990" w:rsidRPr="00E70413" w:rsidRDefault="003B4990" w:rsidP="003B4990">
      <w:pPr>
        <w:jc w:val="both"/>
        <w:rPr>
          <w:rFonts w:ascii="Garamond" w:hAnsi="Garamond"/>
          <w:sz w:val="24"/>
          <w:szCs w:val="24"/>
        </w:rPr>
      </w:pPr>
    </w:p>
    <w:p w:rsidR="003B4990" w:rsidRPr="00E70413" w:rsidRDefault="003B4990" w:rsidP="003B4990">
      <w:pPr>
        <w:spacing w:after="284" w:line="280" w:lineRule="atLeast"/>
        <w:jc w:val="both"/>
        <w:rPr>
          <w:rFonts w:ascii="Garamond" w:eastAsia="Times New Roman" w:hAnsi="Garamond" w:cs="Arial"/>
          <w:sz w:val="20"/>
          <w:szCs w:val="20"/>
        </w:rPr>
      </w:pPr>
      <w:r w:rsidRPr="00E70413">
        <w:rPr>
          <w:rFonts w:ascii="Garamond" w:eastAsia="Times New Roman" w:hAnsi="Garamond" w:cs="Arial"/>
          <w:b/>
          <w:sz w:val="20"/>
          <w:szCs w:val="20"/>
        </w:rPr>
        <w:t>Grant Thornton</w:t>
      </w:r>
      <w:r w:rsidRPr="00E70413">
        <w:rPr>
          <w:rFonts w:ascii="Garamond" w:eastAsia="Times New Roman" w:hAnsi="Garamond" w:cs="Arial"/>
          <w:sz w:val="20"/>
          <w:szCs w:val="20"/>
        </w:rPr>
        <w:t xml:space="preserve"> to jedna z wiodących organizacji audytorsko-doradczych na świecie. Wiedza, doświadczenie i zaangażowanie ponad 3 000 partnerów oraz 42 000 pracowników Grant Thornton dostępne są dla klientów w ponad 130 krajach. W Polsce działamy od 24 lat, a 400-osobowy zespół oraz obecność w kluczowych aglomeracjach (Warszawa, Poznań, Katowice, Wrocław, Kraków i Toruń) zapewniają nam bliski kontakt z klientami oraz umożliwiają realizację wymagających projektów w obszarze usług audytorskich, doradztwa podatkowego, doradztwa gospodarczego, prawnego oraz outsourcingu rachunkowości, kadr i płac bez względu na wielkość, rodzaj i lokalizację </w:t>
      </w:r>
      <w:r w:rsidRPr="00E70413">
        <w:rPr>
          <w:rFonts w:ascii="Garamond" w:eastAsia="Times New Roman" w:hAnsi="Garamond" w:cs="Arial"/>
          <w:sz w:val="20"/>
          <w:szCs w:val="20"/>
        </w:rPr>
        <w:lastRenderedPageBreak/>
        <w:t xml:space="preserve">biznesu klienta. Klienci firmy to ponad 1000 podmiotów, w tym kilkadziesiąt spółek notowanych na GPW oraz firmy z top 500 największych przedsiębiorstw działających w naszym kraju. Grant Thornton jest wyłącznym partnerem Grant Thornton International w Polsce. Więcej informacji na </w:t>
      </w:r>
      <w:hyperlink r:id="rId12" w:history="1">
        <w:r w:rsidRPr="00E70413">
          <w:rPr>
            <w:rFonts w:ascii="Garamond" w:eastAsia="Times New Roman" w:hAnsi="Garamond" w:cs="Arial"/>
            <w:color w:val="0000FF"/>
            <w:sz w:val="20"/>
            <w:szCs w:val="20"/>
            <w:u w:val="single"/>
          </w:rPr>
          <w:t>www.grantthornton.pl</w:t>
        </w:r>
      </w:hyperlink>
      <w:r w:rsidRPr="00E70413">
        <w:rPr>
          <w:rFonts w:ascii="Garamond" w:eastAsia="Times New Roman" w:hAnsi="Garamond" w:cs="Arial"/>
          <w:sz w:val="20"/>
          <w:szCs w:val="20"/>
        </w:rPr>
        <w:t xml:space="preserve"> </w:t>
      </w:r>
    </w:p>
    <w:p w:rsidR="003B4990" w:rsidRPr="00E70413" w:rsidRDefault="003B4990" w:rsidP="003B4990">
      <w:pPr>
        <w:spacing w:after="284" w:line="280" w:lineRule="atLeast"/>
        <w:jc w:val="both"/>
        <w:rPr>
          <w:rFonts w:ascii="Garamond" w:eastAsia="Times New Roman" w:hAnsi="Garamond" w:cs="Arial"/>
          <w:color w:val="0000FF"/>
          <w:sz w:val="20"/>
          <w:szCs w:val="20"/>
          <w:u w:val="single"/>
        </w:rPr>
      </w:pPr>
      <w:r w:rsidRPr="00E70413">
        <w:rPr>
          <w:rFonts w:ascii="Garamond" w:eastAsia="Times New Roman" w:hAnsi="Garamond" w:cs="Arial"/>
          <w:b/>
          <w:sz w:val="20"/>
          <w:szCs w:val="20"/>
        </w:rPr>
        <w:t>Grant Thornton International Ltd</w:t>
      </w:r>
      <w:r w:rsidRPr="00E70413">
        <w:rPr>
          <w:rFonts w:ascii="Garamond" w:eastAsia="Times New Roman" w:hAnsi="Garamond" w:cs="Arial"/>
          <w:sz w:val="20"/>
          <w:szCs w:val="20"/>
        </w:rPr>
        <w:t xml:space="preserve">. (GTI) jest jedną z wiodących światowych organizacji, zrzeszającą firmy księgowe i doradcze, oferujące usługi poświadczające, doradztwa podatkowego, a także udzielające specjalistycznych porad dla przedsiębiorców prywatnych i jednostek interesu publicznego. Więcej informacji na </w:t>
      </w:r>
      <w:hyperlink r:id="rId13" w:history="1">
        <w:r w:rsidRPr="00E70413">
          <w:rPr>
            <w:rFonts w:ascii="Garamond" w:eastAsia="Times New Roman" w:hAnsi="Garamond" w:cs="Arial"/>
            <w:color w:val="0000FF"/>
            <w:sz w:val="20"/>
            <w:szCs w:val="20"/>
            <w:u w:val="single"/>
          </w:rPr>
          <w:t>www.gti.org</w:t>
        </w:r>
      </w:hyperlink>
    </w:p>
    <w:p w:rsidR="003B4990" w:rsidRPr="00E70413" w:rsidRDefault="003B4990" w:rsidP="003B4990">
      <w:pPr>
        <w:spacing w:after="284" w:line="280" w:lineRule="atLeast"/>
        <w:jc w:val="both"/>
        <w:rPr>
          <w:rFonts w:ascii="Garamond" w:eastAsia="Times New Roman" w:hAnsi="Garamond" w:cs="Arial"/>
        </w:rPr>
      </w:pPr>
    </w:p>
    <w:p w:rsidR="003B4990" w:rsidRPr="00E70413" w:rsidRDefault="003B4990" w:rsidP="003B4990">
      <w:pPr>
        <w:jc w:val="right"/>
        <w:rPr>
          <w:rFonts w:ascii="Garamond" w:hAnsi="Garamond"/>
          <w:lang w:val="en-US"/>
        </w:rPr>
      </w:pPr>
    </w:p>
    <w:p w:rsidR="00327EAE" w:rsidRDefault="00327EAE"/>
    <w:sectPr w:rsidR="00327EAE" w:rsidSect="001B3576">
      <w:footerReference w:type="default" r:id="rId14"/>
      <w:headerReference w:type="first" r:id="rId15"/>
      <w:footerReference w:type="first" r:id="rId16"/>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42" w:rsidRDefault="00324842">
      <w:pPr>
        <w:spacing w:after="0" w:line="240" w:lineRule="auto"/>
      </w:pPr>
      <w:r>
        <w:separator/>
      </w:r>
    </w:p>
  </w:endnote>
  <w:endnote w:type="continuationSeparator" w:id="0">
    <w:p w:rsidR="00324842" w:rsidRDefault="0032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TWalsheimProLight">
    <w:panose1 w:val="00000000000000000000"/>
    <w:charset w:val="EE"/>
    <w:family w:val="swiss"/>
    <w:notTrueType/>
    <w:pitch w:val="default"/>
    <w:sig w:usb0="00000005" w:usb1="00000000" w:usb2="00000000" w:usb3="00000000" w:csb0="00000002" w:csb1="00000000"/>
  </w:font>
  <w:font w:name="GTWalsheimProRegular">
    <w:panose1 w:val="02000503040000020003"/>
    <w:charset w:val="EE"/>
    <w:family w:val="swiss"/>
    <w:notTrueType/>
    <w:pitch w:val="default"/>
    <w:sig w:usb0="00000005" w:usb1="00000000" w:usb2="00000000" w:usb3="00000000" w:csb0="00000002" w:csb1="00000000"/>
  </w:font>
  <w:font w:name="NewsGothicStd-Bold">
    <w:charset w:val="00"/>
    <w:family w:val="swiss"/>
    <w:pitch w:val="default"/>
  </w:font>
  <w:font w:name="NewsGothicSt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8D" w:rsidRPr="002D7A8D" w:rsidRDefault="00A05BE1" w:rsidP="002D7A8D">
    <w:pPr>
      <w:autoSpaceDE w:val="0"/>
      <w:spacing w:after="0" w:line="240" w:lineRule="auto"/>
      <w:rPr>
        <w:rFonts w:ascii="Tahoma" w:eastAsia="NewsGothicStd-Bold" w:hAnsi="Tahoma" w:cs="Tahoma"/>
        <w:b/>
        <w:bCs/>
        <w:sz w:val="13"/>
        <w:szCs w:val="13"/>
        <w:lang w:val="en-GB"/>
      </w:rPr>
    </w:pPr>
    <w:proofErr w:type="spellStart"/>
    <w:r w:rsidRPr="002D7A8D">
      <w:rPr>
        <w:rFonts w:ascii="Tahoma" w:eastAsia="NewsGothicStd-Bold" w:hAnsi="Tahoma" w:cs="Tahoma"/>
        <w:b/>
        <w:bCs/>
        <w:sz w:val="13"/>
        <w:szCs w:val="13"/>
        <w:lang w:val="en-GB"/>
      </w:rPr>
      <w:t>Audyt</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Podatki</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Doradztwo</w:t>
    </w:r>
    <w:proofErr w:type="spellEnd"/>
    <w:r w:rsidRPr="002D7A8D">
      <w:rPr>
        <w:rFonts w:ascii="Tahoma" w:eastAsia="NewsGothicStd-Bold" w:hAnsi="Tahoma" w:cs="Tahoma"/>
        <w:b/>
        <w:bCs/>
        <w:sz w:val="13"/>
        <w:szCs w:val="13"/>
        <w:lang w:val="en-GB"/>
      </w:rPr>
      <w:t xml:space="preserve"> - Outsourcing</w:t>
    </w:r>
  </w:p>
  <w:p w:rsidR="002D7A8D" w:rsidRPr="002D7A8D" w:rsidRDefault="00A05BE1" w:rsidP="002D7A8D">
    <w:pPr>
      <w:tabs>
        <w:tab w:val="left" w:pos="3247"/>
      </w:tabs>
      <w:autoSpaceDE w:val="0"/>
      <w:spacing w:after="0" w:line="240" w:lineRule="auto"/>
      <w:rPr>
        <w:rFonts w:ascii="Tahoma" w:eastAsia="NewsGothicStd" w:hAnsi="Tahoma" w:cs="Tahoma"/>
        <w:sz w:val="13"/>
        <w:szCs w:val="13"/>
        <w:lang w:val="en-GB"/>
      </w:rPr>
    </w:pPr>
    <w:r w:rsidRPr="002D7A8D">
      <w:rPr>
        <w:rFonts w:ascii="Tahoma" w:eastAsia="NewsGothicStd" w:hAnsi="Tahoma" w:cs="Tahoma"/>
        <w:sz w:val="13"/>
        <w:szCs w:val="13"/>
        <w:lang w:val="en-GB"/>
      </w:rPr>
      <w:t>Member of Grant Thornton International Ltd</w:t>
    </w:r>
    <w:r w:rsidRPr="002D7A8D">
      <w:rPr>
        <w:rFonts w:ascii="Tahoma" w:eastAsia="NewsGothicStd" w:hAnsi="Tahoma" w:cs="Tahoma"/>
        <w:sz w:val="13"/>
        <w:szCs w:val="13"/>
        <w:lang w:val="en-GB"/>
      </w:rPr>
      <w:tab/>
    </w:r>
  </w:p>
  <w:p w:rsidR="002D7A8D" w:rsidRPr="002D7A8D" w:rsidRDefault="00324842" w:rsidP="002D7A8D">
    <w:pPr>
      <w:autoSpaceDE w:val="0"/>
      <w:spacing w:after="0" w:line="240" w:lineRule="auto"/>
      <w:rPr>
        <w:rFonts w:ascii="Tahoma" w:eastAsia="NewsGothicStd" w:hAnsi="Tahoma" w:cs="Tahoma"/>
        <w:sz w:val="13"/>
        <w:szCs w:val="13"/>
        <w:lang w:val="en-GB"/>
      </w:rPr>
    </w:pPr>
  </w:p>
  <w:p w:rsidR="002D7A8D" w:rsidRPr="002D7A8D" w:rsidRDefault="00A05BE1" w:rsidP="002D7A8D">
    <w:pPr>
      <w:autoSpaceDE w:val="0"/>
      <w:spacing w:after="0" w:line="240" w:lineRule="auto"/>
      <w:rPr>
        <w:rFonts w:ascii="Tahoma" w:eastAsia="NewsGothicStd" w:hAnsi="Tahoma" w:cs="Tahoma"/>
        <w:sz w:val="11"/>
        <w:szCs w:val="11"/>
      </w:rPr>
    </w:pPr>
    <w:r w:rsidRPr="002D7A8D">
      <w:rPr>
        <w:rFonts w:ascii="Tahoma" w:eastAsia="NewsGothicStd" w:hAnsi="Tahoma" w:cs="Tahoma"/>
        <w:sz w:val="11"/>
        <w:szCs w:val="11"/>
      </w:rPr>
      <w:t>Podmiot uprawniony do badania sprawozdań finansowych  nr 238. Zarząd Spółki: Cecylia Pol – Prezes, Tomasz Wróblewski – Wiceprezes.</w:t>
    </w:r>
  </w:p>
  <w:p w:rsidR="002D7A8D" w:rsidRPr="002D7A8D" w:rsidRDefault="00A05BE1" w:rsidP="002D7A8D">
    <w:pPr>
      <w:spacing w:after="0" w:line="140" w:lineRule="atLeast"/>
      <w:rPr>
        <w:rFonts w:ascii="Tahoma" w:eastAsia="NewsGothicStd" w:hAnsi="Tahoma" w:cs="Tahoma"/>
        <w:sz w:val="11"/>
        <w:szCs w:val="11"/>
      </w:rPr>
    </w:pPr>
    <w:r w:rsidRPr="002D7A8D">
      <w:rPr>
        <w:rFonts w:ascii="Tahoma" w:eastAsia="NewsGothicStd" w:hAnsi="Tahoma" w:cs="Tahoma"/>
        <w:sz w:val="11"/>
        <w:szCs w:val="11"/>
      </w:rPr>
      <w:t>Adres siedziby: 61-831 Poznań, pl. Wiosny Ludów 2. NIP: 778-01-62-560, REGON: 632474183, rachunek bankowy: 18 1750 1019 0000 0000 0098 2229.</w:t>
    </w:r>
  </w:p>
  <w:p w:rsidR="002D7A8D" w:rsidRPr="002D7A8D" w:rsidRDefault="00A05BE1" w:rsidP="002D7A8D">
    <w:pPr>
      <w:spacing w:after="0" w:line="140" w:lineRule="atLeast"/>
      <w:rPr>
        <w:rFonts w:ascii="Tahoma" w:eastAsia="Times New Roman" w:hAnsi="Tahoma" w:cs="Tahoma"/>
        <w:sz w:val="11"/>
        <w:szCs w:val="11"/>
      </w:rPr>
    </w:pPr>
    <w:r w:rsidRPr="002D7A8D">
      <w:rPr>
        <w:rFonts w:ascii="Tahoma" w:eastAsia="NewsGothicStd" w:hAnsi="Tahoma" w:cs="Tahoma"/>
        <w:sz w:val="11"/>
        <w:szCs w:val="11"/>
      </w:rPr>
      <w:t>Kapitał Zakładowy 497 400 PLN. Sąd rejonowy  Poznań – Nowe Miasto i Wilda w Poznaniu, VIII Wydział Gospodarczy, nr KRS 0000006705.</w:t>
    </w:r>
    <w:r w:rsidR="003B4990">
      <w:rPr>
        <w:noProof/>
        <w:lang w:eastAsia="pl-PL"/>
      </w:rPr>
      <mc:AlternateContent>
        <mc:Choice Requires="wps">
          <w:drawing>
            <wp:anchor distT="0" distB="0" distL="114300" distR="114300" simplePos="0" relativeHeight="251660288" behindDoc="1" locked="0" layoutInCell="1" allowOverlap="1">
              <wp:simplePos x="0" y="0"/>
              <wp:positionH relativeFrom="page">
                <wp:posOffset>215900</wp:posOffset>
              </wp:positionH>
              <wp:positionV relativeFrom="page">
                <wp:posOffset>7237095</wp:posOffset>
              </wp:positionV>
              <wp:extent cx="1029335" cy="3239770"/>
              <wp:effectExtent l="0" t="0" r="18415" b="1778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22" w:type="dxa"/>
                            <w:tblLayout w:type="fixed"/>
                            <w:tblCellMar>
                              <w:left w:w="0" w:type="dxa"/>
                              <w:right w:w="0" w:type="dxa"/>
                            </w:tblCellMar>
                            <w:tblLook w:val="01E0" w:firstRow="1" w:lastRow="1" w:firstColumn="1" w:lastColumn="1" w:noHBand="0" w:noVBand="0"/>
                          </w:tblPr>
                          <w:tblGrid>
                            <w:gridCol w:w="1622"/>
                          </w:tblGrid>
                          <w:tr w:rsidR="002D7A8D" w:rsidRPr="00B96819" w:rsidTr="004026D3">
                            <w:trPr>
                              <w:trHeight w:hRule="exact" w:val="5103"/>
                            </w:trPr>
                            <w:tc>
                              <w:tcPr>
                                <w:tcW w:w="1621" w:type="dxa"/>
                                <w:shd w:val="clear" w:color="auto" w:fill="auto"/>
                                <w:vAlign w:val="bottom"/>
                              </w:tcPr>
                              <w:p w:rsidR="002D7A8D" w:rsidRPr="0069090D" w:rsidRDefault="00324842" w:rsidP="004026D3">
                                <w:pPr>
                                  <w:pStyle w:val="LetterFooter"/>
                                </w:pPr>
                              </w:p>
                            </w:tc>
                          </w:tr>
                        </w:tbl>
                        <w:p w:rsidR="002D7A8D" w:rsidRDefault="00324842" w:rsidP="002D7A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17pt;margin-top:569.85pt;width:81.05pt;height:25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" filled="f" stroked="f">
              <v:textbox inset="0,0,0,0">
                <w:txbxContent>
                  <w:tbl>
                    <w:tblPr>
                      <w:tblW w:w="1622" w:type="dxa"/>
                      <w:tblLayout w:type="fixed"/>
                      <w:tblCellMar>
                        <w:left w:w="0" w:type="dxa"/>
                        <w:right w:w="0" w:type="dxa"/>
                      </w:tblCellMar>
                      <w:tblLook w:val="01E0" w:firstRow="1" w:lastRow="1" w:firstColumn="1" w:lastColumn="1" w:noHBand="0" w:noVBand="0"/>
                    </w:tblPr>
                    <w:tblGrid>
                      <w:gridCol w:w="1622"/>
                    </w:tblGrid>
                    <w:tr w:rsidR="002D7A8D" w:rsidRPr="00B96819" w:rsidTr="004026D3">
                      <w:trPr>
                        <w:trHeight w:hRule="exact" w:val="5103"/>
                      </w:trPr>
                      <w:tc>
                        <w:tcPr>
                          <w:tcW w:w="1621" w:type="dxa"/>
                          <w:shd w:val="clear" w:color="auto" w:fill="auto"/>
                          <w:vAlign w:val="bottom"/>
                        </w:tcPr>
                        <w:p w:rsidR="002D7A8D" w:rsidRPr="0069090D" w:rsidRDefault="00324842" w:rsidP="004026D3">
                          <w:pPr>
                            <w:pStyle w:val="LetterFooter"/>
                          </w:pPr>
                        </w:p>
                      </w:tc>
                    </w:tr>
                  </w:tbl>
                  <w:p w:rsidR="002D7A8D" w:rsidRDefault="00324842" w:rsidP="002D7A8D"/>
                </w:txbxContent>
              </v:textbox>
              <w10:wrap anchorx="page" anchory="page"/>
            </v:shape>
          </w:pict>
        </mc:Fallback>
      </mc:AlternateContent>
    </w:r>
  </w:p>
  <w:p w:rsidR="002D7A8D" w:rsidRDefault="00324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F5" w:rsidRDefault="00324842" w:rsidP="002D7A8D">
    <w:pPr>
      <w:autoSpaceDE w:val="0"/>
      <w:spacing w:after="0" w:line="240" w:lineRule="auto"/>
      <w:rPr>
        <w:rFonts w:ascii="Tahoma" w:eastAsia="NewsGothicStd-Bold" w:hAnsi="Tahoma" w:cs="Tahoma"/>
        <w:b/>
        <w:bCs/>
        <w:sz w:val="13"/>
        <w:szCs w:val="13"/>
        <w:lang w:val="en-GB"/>
      </w:rPr>
    </w:pPr>
  </w:p>
  <w:p w:rsidR="002D7A8D" w:rsidRPr="002D7A8D" w:rsidRDefault="00A05BE1" w:rsidP="002D7A8D">
    <w:pPr>
      <w:autoSpaceDE w:val="0"/>
      <w:spacing w:after="0" w:line="240" w:lineRule="auto"/>
      <w:rPr>
        <w:rFonts w:ascii="Tahoma" w:eastAsia="NewsGothicStd-Bold" w:hAnsi="Tahoma" w:cs="Tahoma"/>
        <w:b/>
        <w:bCs/>
        <w:sz w:val="13"/>
        <w:szCs w:val="13"/>
        <w:lang w:val="en-GB"/>
      </w:rPr>
    </w:pPr>
    <w:proofErr w:type="spellStart"/>
    <w:r w:rsidRPr="002D7A8D">
      <w:rPr>
        <w:rFonts w:ascii="Tahoma" w:eastAsia="NewsGothicStd-Bold" w:hAnsi="Tahoma" w:cs="Tahoma"/>
        <w:b/>
        <w:bCs/>
        <w:sz w:val="13"/>
        <w:szCs w:val="13"/>
        <w:lang w:val="en-GB"/>
      </w:rPr>
      <w:t>Audyt</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Podatki</w:t>
    </w:r>
    <w:proofErr w:type="spellEnd"/>
    <w:r w:rsidRPr="002D7A8D">
      <w:rPr>
        <w:rFonts w:ascii="Tahoma" w:eastAsia="NewsGothicStd-Bold" w:hAnsi="Tahoma" w:cs="Tahoma"/>
        <w:b/>
        <w:bCs/>
        <w:sz w:val="13"/>
        <w:szCs w:val="13"/>
        <w:lang w:val="en-GB"/>
      </w:rPr>
      <w:t xml:space="preserve"> – </w:t>
    </w:r>
    <w:proofErr w:type="spellStart"/>
    <w:r w:rsidRPr="002D7A8D">
      <w:rPr>
        <w:rFonts w:ascii="Tahoma" w:eastAsia="NewsGothicStd-Bold" w:hAnsi="Tahoma" w:cs="Tahoma"/>
        <w:b/>
        <w:bCs/>
        <w:sz w:val="13"/>
        <w:szCs w:val="13"/>
        <w:lang w:val="en-GB"/>
      </w:rPr>
      <w:t>Doradztwo</w:t>
    </w:r>
    <w:proofErr w:type="spellEnd"/>
    <w:r w:rsidRPr="002D7A8D">
      <w:rPr>
        <w:rFonts w:ascii="Tahoma" w:eastAsia="NewsGothicStd-Bold" w:hAnsi="Tahoma" w:cs="Tahoma"/>
        <w:b/>
        <w:bCs/>
        <w:sz w:val="13"/>
        <w:szCs w:val="13"/>
        <w:lang w:val="en-GB"/>
      </w:rPr>
      <w:t xml:space="preserve"> - Outsourcing</w:t>
    </w:r>
  </w:p>
  <w:p w:rsidR="002D7A8D" w:rsidRPr="002D7A8D" w:rsidRDefault="00A05BE1" w:rsidP="002D7A8D">
    <w:pPr>
      <w:tabs>
        <w:tab w:val="left" w:pos="3247"/>
      </w:tabs>
      <w:autoSpaceDE w:val="0"/>
      <w:spacing w:after="0" w:line="240" w:lineRule="auto"/>
      <w:rPr>
        <w:rFonts w:ascii="Tahoma" w:eastAsia="NewsGothicStd" w:hAnsi="Tahoma" w:cs="Tahoma"/>
        <w:sz w:val="13"/>
        <w:szCs w:val="13"/>
        <w:lang w:val="en-GB"/>
      </w:rPr>
    </w:pPr>
    <w:r w:rsidRPr="002D7A8D">
      <w:rPr>
        <w:rFonts w:ascii="Tahoma" w:eastAsia="NewsGothicStd" w:hAnsi="Tahoma" w:cs="Tahoma"/>
        <w:sz w:val="13"/>
        <w:szCs w:val="13"/>
        <w:lang w:val="en-GB"/>
      </w:rPr>
      <w:t>Member of Grant Thornton International Ltd</w:t>
    </w:r>
    <w:r w:rsidRPr="002D7A8D">
      <w:rPr>
        <w:rFonts w:ascii="Tahoma" w:eastAsia="NewsGothicStd" w:hAnsi="Tahoma" w:cs="Tahoma"/>
        <w:sz w:val="13"/>
        <w:szCs w:val="13"/>
        <w:lang w:val="en-GB"/>
      </w:rPr>
      <w:tab/>
    </w:r>
  </w:p>
  <w:p w:rsidR="002D7A8D" w:rsidRPr="002D7A8D" w:rsidRDefault="00324842" w:rsidP="002D7A8D">
    <w:pPr>
      <w:autoSpaceDE w:val="0"/>
      <w:spacing w:after="0" w:line="240" w:lineRule="auto"/>
      <w:rPr>
        <w:rFonts w:ascii="Tahoma" w:eastAsia="NewsGothicStd" w:hAnsi="Tahoma" w:cs="Tahoma"/>
        <w:sz w:val="13"/>
        <w:szCs w:val="13"/>
        <w:lang w:val="en-GB"/>
      </w:rPr>
    </w:pPr>
  </w:p>
  <w:p w:rsidR="002D7A8D" w:rsidRPr="002D7A8D" w:rsidRDefault="00A05BE1" w:rsidP="002D7A8D">
    <w:pPr>
      <w:autoSpaceDE w:val="0"/>
      <w:spacing w:after="0" w:line="240" w:lineRule="auto"/>
      <w:rPr>
        <w:rFonts w:ascii="Tahoma" w:eastAsia="NewsGothicStd" w:hAnsi="Tahoma" w:cs="Tahoma"/>
        <w:sz w:val="11"/>
        <w:szCs w:val="11"/>
      </w:rPr>
    </w:pPr>
    <w:r w:rsidRPr="002D7A8D">
      <w:rPr>
        <w:rFonts w:ascii="Tahoma" w:eastAsia="NewsGothicStd" w:hAnsi="Tahoma" w:cs="Tahoma"/>
        <w:sz w:val="11"/>
        <w:szCs w:val="11"/>
      </w:rPr>
      <w:t>Podmiot uprawniony do badania sprawozdań finansowych  nr 238. Zarząd Spółki: Cecylia Pol – Prezes, Tomasz Wróblewski – Wiceprezes.</w:t>
    </w:r>
  </w:p>
  <w:p w:rsidR="002D7A8D" w:rsidRPr="002D7A8D" w:rsidRDefault="00A05BE1" w:rsidP="002D7A8D">
    <w:pPr>
      <w:spacing w:after="0" w:line="140" w:lineRule="atLeast"/>
      <w:rPr>
        <w:rFonts w:ascii="Tahoma" w:eastAsia="NewsGothicStd" w:hAnsi="Tahoma" w:cs="Tahoma"/>
        <w:sz w:val="11"/>
        <w:szCs w:val="11"/>
      </w:rPr>
    </w:pPr>
    <w:r w:rsidRPr="002D7A8D">
      <w:rPr>
        <w:rFonts w:ascii="Tahoma" w:eastAsia="NewsGothicStd" w:hAnsi="Tahoma" w:cs="Tahoma"/>
        <w:sz w:val="11"/>
        <w:szCs w:val="11"/>
      </w:rPr>
      <w:t>Adres siedziby: 61-831 Poznań, pl. Wiosny Ludów 2. NIP: 778-01-62-560, REGON: 632474183, rachunek bankowy: 18 1750 1019 0000 0000 0098 2229.</w:t>
    </w:r>
  </w:p>
  <w:p w:rsidR="002D7A8D" w:rsidRPr="002D7A8D" w:rsidRDefault="00A05BE1" w:rsidP="002D7A8D">
    <w:pPr>
      <w:spacing w:after="0" w:line="140" w:lineRule="atLeast"/>
      <w:rPr>
        <w:rFonts w:ascii="Tahoma" w:eastAsia="Times New Roman" w:hAnsi="Tahoma" w:cs="Tahoma"/>
        <w:sz w:val="11"/>
        <w:szCs w:val="11"/>
      </w:rPr>
    </w:pPr>
    <w:r w:rsidRPr="002D7A8D">
      <w:rPr>
        <w:rFonts w:ascii="Tahoma" w:eastAsia="NewsGothicStd" w:hAnsi="Tahoma" w:cs="Tahoma"/>
        <w:sz w:val="11"/>
        <w:szCs w:val="11"/>
      </w:rPr>
      <w:t>Kapitał Zakładowy 497 400 PLN. Sąd rejonowy  Poznań – Nowe Miasto i Wilda w Poznaniu, VIII Wydział Gospodarczy, nr KRS 0000006705.</w:t>
    </w:r>
    <w:r w:rsidR="003B4990">
      <w:rPr>
        <w:noProof/>
        <w:lang w:eastAsia="pl-PL"/>
      </w:rPr>
      <mc:AlternateContent>
        <mc:Choice Requires="wps">
          <w:drawing>
            <wp:anchor distT="0" distB="0" distL="114300" distR="114300" simplePos="0" relativeHeight="251659264" behindDoc="1" locked="0" layoutInCell="1" allowOverlap="1">
              <wp:simplePos x="0" y="0"/>
              <wp:positionH relativeFrom="page">
                <wp:posOffset>215900</wp:posOffset>
              </wp:positionH>
              <wp:positionV relativeFrom="page">
                <wp:posOffset>7237095</wp:posOffset>
              </wp:positionV>
              <wp:extent cx="1029335" cy="3239770"/>
              <wp:effectExtent l="0" t="0" r="18415"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3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22" w:type="dxa"/>
                            <w:tblLayout w:type="fixed"/>
                            <w:tblCellMar>
                              <w:left w:w="0" w:type="dxa"/>
                              <w:right w:w="0" w:type="dxa"/>
                            </w:tblCellMar>
                            <w:tblLook w:val="01E0" w:firstRow="1" w:lastRow="1" w:firstColumn="1" w:lastColumn="1" w:noHBand="0" w:noVBand="0"/>
                          </w:tblPr>
                          <w:tblGrid>
                            <w:gridCol w:w="1622"/>
                          </w:tblGrid>
                          <w:tr w:rsidR="002D7A8D" w:rsidRPr="00B96819" w:rsidTr="004026D3">
                            <w:trPr>
                              <w:trHeight w:hRule="exact" w:val="5103"/>
                            </w:trPr>
                            <w:tc>
                              <w:tcPr>
                                <w:tcW w:w="1621" w:type="dxa"/>
                                <w:shd w:val="clear" w:color="auto" w:fill="auto"/>
                                <w:vAlign w:val="bottom"/>
                              </w:tcPr>
                              <w:p w:rsidR="002D7A8D" w:rsidRPr="0069090D" w:rsidRDefault="00324842" w:rsidP="004026D3">
                                <w:pPr>
                                  <w:pStyle w:val="LetterFooter"/>
                                </w:pPr>
                              </w:p>
                            </w:tc>
                          </w:tr>
                        </w:tbl>
                        <w:p w:rsidR="002D7A8D" w:rsidRDefault="00324842" w:rsidP="002D7A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7" type="#_x0000_t202" style="position:absolute;margin-left:17pt;margin-top:569.85pt;width:81.05pt;height:25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FduAIAALY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" filled="f" stroked="f">
              <v:textbox inset="0,0,0,0">
                <w:txbxContent>
                  <w:tbl>
                    <w:tblPr>
                      <w:tblW w:w="1622" w:type="dxa"/>
                      <w:tblLayout w:type="fixed"/>
                      <w:tblCellMar>
                        <w:left w:w="0" w:type="dxa"/>
                        <w:right w:w="0" w:type="dxa"/>
                      </w:tblCellMar>
                      <w:tblLook w:val="01E0" w:firstRow="1" w:lastRow="1" w:firstColumn="1" w:lastColumn="1" w:noHBand="0" w:noVBand="0"/>
                    </w:tblPr>
                    <w:tblGrid>
                      <w:gridCol w:w="1622"/>
                    </w:tblGrid>
                    <w:tr w:rsidR="002D7A8D" w:rsidRPr="00B96819" w:rsidTr="004026D3">
                      <w:trPr>
                        <w:trHeight w:hRule="exact" w:val="5103"/>
                      </w:trPr>
                      <w:tc>
                        <w:tcPr>
                          <w:tcW w:w="1621" w:type="dxa"/>
                          <w:shd w:val="clear" w:color="auto" w:fill="auto"/>
                          <w:vAlign w:val="bottom"/>
                        </w:tcPr>
                        <w:p w:rsidR="002D7A8D" w:rsidRPr="0069090D" w:rsidRDefault="00324842" w:rsidP="004026D3">
                          <w:pPr>
                            <w:pStyle w:val="LetterFooter"/>
                          </w:pPr>
                        </w:p>
                      </w:tc>
                    </w:tr>
                  </w:tbl>
                  <w:p w:rsidR="002D7A8D" w:rsidRDefault="00324842" w:rsidP="002D7A8D"/>
                </w:txbxContent>
              </v:textbox>
              <w10:wrap anchorx="page" anchory="page"/>
            </v:shape>
          </w:pict>
        </mc:Fallback>
      </mc:AlternateContent>
    </w:r>
  </w:p>
  <w:p w:rsidR="002D7A8D" w:rsidRDefault="00324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42" w:rsidRDefault="00324842">
      <w:pPr>
        <w:spacing w:after="0" w:line="240" w:lineRule="auto"/>
      </w:pPr>
      <w:r>
        <w:separator/>
      </w:r>
    </w:p>
  </w:footnote>
  <w:footnote w:type="continuationSeparator" w:id="0">
    <w:p w:rsidR="00324842" w:rsidRDefault="0032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76" w:rsidRDefault="003B4990">
    <w:pPr>
      <w:pStyle w:val="Nagwek"/>
    </w:pPr>
    <w:r>
      <w:rPr>
        <w:noProof/>
        <w:lang w:eastAsia="pl-PL"/>
      </w:rPr>
      <w:drawing>
        <wp:anchor distT="0" distB="0" distL="114300" distR="114300" simplePos="0" relativeHeight="251661312" behindDoc="1" locked="0" layoutInCell="1" allowOverlap="1">
          <wp:simplePos x="0" y="0"/>
          <wp:positionH relativeFrom="column">
            <wp:posOffset>-604520</wp:posOffset>
          </wp:positionH>
          <wp:positionV relativeFrom="paragraph">
            <wp:posOffset>-107315</wp:posOffset>
          </wp:positionV>
          <wp:extent cx="3101340" cy="1409700"/>
          <wp:effectExtent l="0" t="0" r="3810" b="0"/>
          <wp:wrapTight wrapText="bothSides">
            <wp:wrapPolygon edited="0">
              <wp:start x="0" y="0"/>
              <wp:lineTo x="0" y="21308"/>
              <wp:lineTo x="21494" y="21308"/>
              <wp:lineTo x="2149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03D"/>
    <w:multiLevelType w:val="hybridMultilevel"/>
    <w:tmpl w:val="D9926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473EEA"/>
    <w:multiLevelType w:val="hybridMultilevel"/>
    <w:tmpl w:val="C5164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90"/>
    <w:rsid w:val="00070098"/>
    <w:rsid w:val="000C1C18"/>
    <w:rsid w:val="001D10E3"/>
    <w:rsid w:val="00227E66"/>
    <w:rsid w:val="00324842"/>
    <w:rsid w:val="00325E08"/>
    <w:rsid w:val="00327EAE"/>
    <w:rsid w:val="003B4990"/>
    <w:rsid w:val="00450140"/>
    <w:rsid w:val="0045239E"/>
    <w:rsid w:val="004B1E59"/>
    <w:rsid w:val="004E299D"/>
    <w:rsid w:val="00580ED2"/>
    <w:rsid w:val="005E1EA4"/>
    <w:rsid w:val="006043F0"/>
    <w:rsid w:val="00626985"/>
    <w:rsid w:val="00667AC4"/>
    <w:rsid w:val="006C522C"/>
    <w:rsid w:val="00753A44"/>
    <w:rsid w:val="00777B77"/>
    <w:rsid w:val="00802804"/>
    <w:rsid w:val="00805670"/>
    <w:rsid w:val="00846AA4"/>
    <w:rsid w:val="008A1C32"/>
    <w:rsid w:val="008B5245"/>
    <w:rsid w:val="008E5EAB"/>
    <w:rsid w:val="008F0D67"/>
    <w:rsid w:val="00900A90"/>
    <w:rsid w:val="00966100"/>
    <w:rsid w:val="00A05BE1"/>
    <w:rsid w:val="00A24431"/>
    <w:rsid w:val="00A646C1"/>
    <w:rsid w:val="00AA26FC"/>
    <w:rsid w:val="00B42ED4"/>
    <w:rsid w:val="00BD6141"/>
    <w:rsid w:val="00C15F3F"/>
    <w:rsid w:val="00C2357D"/>
    <w:rsid w:val="00C7322B"/>
    <w:rsid w:val="00D45E6F"/>
    <w:rsid w:val="00D777BF"/>
    <w:rsid w:val="00D93E97"/>
    <w:rsid w:val="00E73202"/>
    <w:rsid w:val="00E863D0"/>
    <w:rsid w:val="00EF19D9"/>
    <w:rsid w:val="00F10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990"/>
    <w:rPr>
      <w:rFonts w:ascii="Calibri" w:eastAsia="Calibri" w:hAnsi="Calibri" w:cs="Times New Roman"/>
    </w:rPr>
  </w:style>
  <w:style w:type="paragraph" w:styleId="Nagwek1">
    <w:name w:val="heading 1"/>
    <w:basedOn w:val="Normalny"/>
    <w:next w:val="Tekstpodstawowy"/>
    <w:link w:val="Nagwek1Znak"/>
    <w:qFormat/>
    <w:rsid w:val="003B4990"/>
    <w:pPr>
      <w:keepNext/>
      <w:spacing w:after="0" w:line="260" w:lineRule="atLeast"/>
      <w:outlineLvl w:val="0"/>
    </w:pPr>
    <w:rPr>
      <w:rFonts w:ascii="Arial Black" w:eastAsia="Times New Roman" w:hAnsi="Arial Black" w:cs="Arial"/>
      <w:bCs/>
      <w:color w:val="4F2D7F"/>
      <w:kern w:val="32"/>
      <w:sz w:val="19"/>
      <w:szCs w:val="28"/>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4990"/>
    <w:rPr>
      <w:rFonts w:ascii="Arial Black" w:eastAsia="Times New Roman" w:hAnsi="Arial Black" w:cs="Arial"/>
      <w:bCs/>
      <w:color w:val="4F2D7F"/>
      <w:kern w:val="32"/>
      <w:sz w:val="19"/>
      <w:szCs w:val="28"/>
      <w:lang w:val="en-US"/>
    </w:rPr>
  </w:style>
  <w:style w:type="paragraph" w:styleId="Nagwek">
    <w:name w:val="header"/>
    <w:basedOn w:val="Normalny"/>
    <w:link w:val="NagwekZnak"/>
    <w:uiPriority w:val="99"/>
    <w:unhideWhenUsed/>
    <w:rsid w:val="003B4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990"/>
    <w:rPr>
      <w:rFonts w:ascii="Calibri" w:eastAsia="Calibri" w:hAnsi="Calibri" w:cs="Times New Roman"/>
    </w:rPr>
  </w:style>
  <w:style w:type="paragraph" w:styleId="Stopka">
    <w:name w:val="footer"/>
    <w:basedOn w:val="Normalny"/>
    <w:link w:val="StopkaZnak"/>
    <w:uiPriority w:val="99"/>
    <w:unhideWhenUsed/>
    <w:rsid w:val="003B4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990"/>
    <w:rPr>
      <w:rFonts w:ascii="Calibri" w:eastAsia="Calibri" w:hAnsi="Calibri" w:cs="Times New Roman"/>
    </w:rPr>
  </w:style>
  <w:style w:type="paragraph" w:styleId="Tekstpodstawowy">
    <w:name w:val="Body Text"/>
    <w:basedOn w:val="Normalny"/>
    <w:link w:val="TekstpodstawowyZnak"/>
    <w:rsid w:val="003B4990"/>
    <w:pPr>
      <w:spacing w:after="284" w:line="280" w:lineRule="atLeast"/>
    </w:pPr>
    <w:rPr>
      <w:rFonts w:ascii="Garamond" w:eastAsia="Times New Roman" w:hAnsi="Garamond" w:cs="Arial"/>
      <w:szCs w:val="20"/>
      <w:lang w:val="en-US"/>
    </w:rPr>
  </w:style>
  <w:style w:type="character" w:customStyle="1" w:styleId="TekstpodstawowyZnak">
    <w:name w:val="Tekst podstawowy Znak"/>
    <w:basedOn w:val="Domylnaczcionkaakapitu"/>
    <w:link w:val="Tekstpodstawowy"/>
    <w:rsid w:val="003B4990"/>
    <w:rPr>
      <w:rFonts w:ascii="Garamond" w:eastAsia="Times New Roman" w:hAnsi="Garamond" w:cs="Arial"/>
      <w:szCs w:val="20"/>
      <w:lang w:val="en-US"/>
    </w:rPr>
  </w:style>
  <w:style w:type="character" w:styleId="Hipercze">
    <w:name w:val="Hyperlink"/>
    <w:semiHidden/>
    <w:rsid w:val="003B4990"/>
    <w:rPr>
      <w:color w:val="0000FF"/>
      <w:u w:val="single"/>
      <w:lang w:val="en-GB"/>
    </w:rPr>
  </w:style>
  <w:style w:type="paragraph" w:customStyle="1" w:styleId="LetterFooter">
    <w:name w:val="Letter Footer"/>
    <w:semiHidden/>
    <w:rsid w:val="003B4990"/>
    <w:pPr>
      <w:spacing w:after="0" w:line="140" w:lineRule="atLeast"/>
    </w:pPr>
    <w:rPr>
      <w:rFonts w:ascii="Arial Narrow" w:eastAsia="Times New Roman" w:hAnsi="Arial Narrow" w:cs="Arial"/>
      <w:sz w:val="11"/>
      <w:szCs w:val="20"/>
      <w:lang w:val="en-GB"/>
    </w:rPr>
  </w:style>
  <w:style w:type="paragraph" w:styleId="Tekstdymka">
    <w:name w:val="Balloon Text"/>
    <w:basedOn w:val="Normalny"/>
    <w:link w:val="TekstdymkaZnak"/>
    <w:uiPriority w:val="99"/>
    <w:semiHidden/>
    <w:unhideWhenUsed/>
    <w:rsid w:val="00900A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A90"/>
    <w:rPr>
      <w:rFonts w:ascii="Tahoma" w:eastAsia="Calibri" w:hAnsi="Tahoma" w:cs="Tahoma"/>
      <w:sz w:val="16"/>
      <w:szCs w:val="16"/>
    </w:rPr>
  </w:style>
  <w:style w:type="paragraph" w:styleId="Akapitzlist">
    <w:name w:val="List Paragraph"/>
    <w:basedOn w:val="Normalny"/>
    <w:uiPriority w:val="34"/>
    <w:qFormat/>
    <w:rsid w:val="00753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990"/>
    <w:rPr>
      <w:rFonts w:ascii="Calibri" w:eastAsia="Calibri" w:hAnsi="Calibri" w:cs="Times New Roman"/>
    </w:rPr>
  </w:style>
  <w:style w:type="paragraph" w:styleId="Nagwek1">
    <w:name w:val="heading 1"/>
    <w:basedOn w:val="Normalny"/>
    <w:next w:val="Tekstpodstawowy"/>
    <w:link w:val="Nagwek1Znak"/>
    <w:qFormat/>
    <w:rsid w:val="003B4990"/>
    <w:pPr>
      <w:keepNext/>
      <w:spacing w:after="0" w:line="260" w:lineRule="atLeast"/>
      <w:outlineLvl w:val="0"/>
    </w:pPr>
    <w:rPr>
      <w:rFonts w:ascii="Arial Black" w:eastAsia="Times New Roman" w:hAnsi="Arial Black" w:cs="Arial"/>
      <w:bCs/>
      <w:color w:val="4F2D7F"/>
      <w:kern w:val="32"/>
      <w:sz w:val="19"/>
      <w:szCs w:val="28"/>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4990"/>
    <w:rPr>
      <w:rFonts w:ascii="Arial Black" w:eastAsia="Times New Roman" w:hAnsi="Arial Black" w:cs="Arial"/>
      <w:bCs/>
      <w:color w:val="4F2D7F"/>
      <w:kern w:val="32"/>
      <w:sz w:val="19"/>
      <w:szCs w:val="28"/>
      <w:lang w:val="en-US"/>
    </w:rPr>
  </w:style>
  <w:style w:type="paragraph" w:styleId="Nagwek">
    <w:name w:val="header"/>
    <w:basedOn w:val="Normalny"/>
    <w:link w:val="NagwekZnak"/>
    <w:uiPriority w:val="99"/>
    <w:unhideWhenUsed/>
    <w:rsid w:val="003B49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990"/>
    <w:rPr>
      <w:rFonts w:ascii="Calibri" w:eastAsia="Calibri" w:hAnsi="Calibri" w:cs="Times New Roman"/>
    </w:rPr>
  </w:style>
  <w:style w:type="paragraph" w:styleId="Stopka">
    <w:name w:val="footer"/>
    <w:basedOn w:val="Normalny"/>
    <w:link w:val="StopkaZnak"/>
    <w:uiPriority w:val="99"/>
    <w:unhideWhenUsed/>
    <w:rsid w:val="003B4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990"/>
    <w:rPr>
      <w:rFonts w:ascii="Calibri" w:eastAsia="Calibri" w:hAnsi="Calibri" w:cs="Times New Roman"/>
    </w:rPr>
  </w:style>
  <w:style w:type="paragraph" w:styleId="Tekstpodstawowy">
    <w:name w:val="Body Text"/>
    <w:basedOn w:val="Normalny"/>
    <w:link w:val="TekstpodstawowyZnak"/>
    <w:rsid w:val="003B4990"/>
    <w:pPr>
      <w:spacing w:after="284" w:line="280" w:lineRule="atLeast"/>
    </w:pPr>
    <w:rPr>
      <w:rFonts w:ascii="Garamond" w:eastAsia="Times New Roman" w:hAnsi="Garamond" w:cs="Arial"/>
      <w:szCs w:val="20"/>
      <w:lang w:val="en-US"/>
    </w:rPr>
  </w:style>
  <w:style w:type="character" w:customStyle="1" w:styleId="TekstpodstawowyZnak">
    <w:name w:val="Tekst podstawowy Znak"/>
    <w:basedOn w:val="Domylnaczcionkaakapitu"/>
    <w:link w:val="Tekstpodstawowy"/>
    <w:rsid w:val="003B4990"/>
    <w:rPr>
      <w:rFonts w:ascii="Garamond" w:eastAsia="Times New Roman" w:hAnsi="Garamond" w:cs="Arial"/>
      <w:szCs w:val="20"/>
      <w:lang w:val="en-US"/>
    </w:rPr>
  </w:style>
  <w:style w:type="character" w:styleId="Hipercze">
    <w:name w:val="Hyperlink"/>
    <w:semiHidden/>
    <w:rsid w:val="003B4990"/>
    <w:rPr>
      <w:color w:val="0000FF"/>
      <w:u w:val="single"/>
      <w:lang w:val="en-GB"/>
    </w:rPr>
  </w:style>
  <w:style w:type="paragraph" w:customStyle="1" w:styleId="LetterFooter">
    <w:name w:val="Letter Footer"/>
    <w:semiHidden/>
    <w:rsid w:val="003B4990"/>
    <w:pPr>
      <w:spacing w:after="0" w:line="140" w:lineRule="atLeast"/>
    </w:pPr>
    <w:rPr>
      <w:rFonts w:ascii="Arial Narrow" w:eastAsia="Times New Roman" w:hAnsi="Arial Narrow" w:cs="Arial"/>
      <w:sz w:val="11"/>
      <w:szCs w:val="20"/>
      <w:lang w:val="en-GB"/>
    </w:rPr>
  </w:style>
  <w:style w:type="paragraph" w:styleId="Tekstdymka">
    <w:name w:val="Balloon Text"/>
    <w:basedOn w:val="Normalny"/>
    <w:link w:val="TekstdymkaZnak"/>
    <w:uiPriority w:val="99"/>
    <w:semiHidden/>
    <w:unhideWhenUsed/>
    <w:rsid w:val="00900A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A90"/>
    <w:rPr>
      <w:rFonts w:ascii="Tahoma" w:eastAsia="Calibri" w:hAnsi="Tahoma" w:cs="Tahoma"/>
      <w:sz w:val="16"/>
      <w:szCs w:val="16"/>
    </w:rPr>
  </w:style>
  <w:style w:type="paragraph" w:styleId="Akapitzlist">
    <w:name w:val="List Paragraph"/>
    <w:basedOn w:val="Normalny"/>
    <w:uiPriority w:val="34"/>
    <w:qFormat/>
    <w:rsid w:val="0075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ti.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tthornto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cek.kowalczyk@pl.g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cek.blazejewski@pl.gt.com" TargetMode="External"/><Relationship Id="rId4" Type="http://schemas.openxmlformats.org/officeDocument/2006/relationships/settings" Target="settings.xml"/><Relationship Id="rId9" Type="http://schemas.openxmlformats.org/officeDocument/2006/relationships/hyperlink" Target="mailto:szymon.wroblewski@pl.g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5923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Macielak</dc:creator>
  <cp:lastModifiedBy>Kowalczyk Jacek</cp:lastModifiedBy>
  <cp:revision>3</cp:revision>
  <dcterms:created xsi:type="dcterms:W3CDTF">2017-03-22T13:59:00Z</dcterms:created>
  <dcterms:modified xsi:type="dcterms:W3CDTF">2017-03-22T14:02:00Z</dcterms:modified>
</cp:coreProperties>
</file>