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0" w:rsidRDefault="007A5040" w:rsidP="007A5040">
      <w:pPr>
        <w:pStyle w:val="PRTitle"/>
        <w:rPr>
          <w:lang w:val="pl-PL"/>
        </w:rPr>
      </w:pPr>
    </w:p>
    <w:p w:rsidR="008762B2" w:rsidRDefault="00855CCD" w:rsidP="008762B2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 w:rsidRPr="00855CCD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Samorządy spóźniają się </w:t>
      </w:r>
    </w:p>
    <w:p w:rsidR="00855CCD" w:rsidRDefault="00855CCD" w:rsidP="008762B2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 w:rsidRPr="00855CCD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z rewitalizacją</w:t>
      </w:r>
    </w:p>
    <w:p w:rsidR="007A5040" w:rsidRPr="00B32719" w:rsidRDefault="007A5040" w:rsidP="007A5040">
      <w:pPr>
        <w:spacing w:before="100" w:beforeAutospacing="1" w:after="100" w:afterAutospacing="1" w:line="360" w:lineRule="auto"/>
        <w:rPr>
          <w:rFonts w:ascii="Arial" w:hAnsi="Arial"/>
          <w:b/>
          <w:color w:val="9BD732"/>
          <w:lang w:val="pl-PL"/>
        </w:rPr>
      </w:pPr>
      <w:r w:rsidRPr="00B32719">
        <w:rPr>
          <w:rFonts w:ascii="Arial" w:hAnsi="Arial"/>
          <w:b/>
          <w:color w:val="9BD732"/>
          <w:lang w:val="pl-PL"/>
        </w:rPr>
        <w:t>Informacja prasowa</w:t>
      </w:r>
    </w:p>
    <w:p w:rsidR="007A5040" w:rsidRPr="00A93F45" w:rsidRDefault="008762B2" w:rsidP="007A5040">
      <w:pPr>
        <w:spacing w:before="100" w:beforeAutospacing="1" w:after="100" w:afterAutospacing="1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28</w:t>
      </w:r>
      <w:r w:rsidR="00C80390">
        <w:rPr>
          <w:rFonts w:ascii="Arial" w:hAnsi="Arial"/>
          <w:lang w:val="pl-PL"/>
        </w:rPr>
        <w:t xml:space="preserve"> marca</w:t>
      </w:r>
      <w:r w:rsidR="007A5040">
        <w:rPr>
          <w:rFonts w:ascii="Arial" w:hAnsi="Arial"/>
          <w:lang w:val="pl-PL"/>
        </w:rPr>
        <w:t xml:space="preserve"> </w:t>
      </w:r>
      <w:r w:rsidR="00743216">
        <w:rPr>
          <w:rFonts w:ascii="Arial" w:hAnsi="Arial"/>
          <w:lang w:val="pl-PL"/>
        </w:rPr>
        <w:t>2018</w:t>
      </w:r>
      <w:r w:rsidR="007A5040" w:rsidRPr="00912BF4">
        <w:rPr>
          <w:rFonts w:ascii="Arial" w:hAnsi="Arial"/>
          <w:lang w:val="pl-PL"/>
        </w:rPr>
        <w:t xml:space="preserve"> r.</w:t>
      </w:r>
    </w:p>
    <w:p w:rsidR="00C80390" w:rsidRDefault="00C80390" w:rsidP="007A5040">
      <w:pPr>
        <w:pStyle w:val="Nagwek1"/>
        <w:rPr>
          <w:lang w:val="pl-PL"/>
        </w:rPr>
      </w:pPr>
    </w:p>
    <w:p w:rsidR="007A5040" w:rsidRPr="00A93F45" w:rsidRDefault="005779DF" w:rsidP="007A5040">
      <w:pPr>
        <w:pStyle w:val="Nagwek1"/>
        <w:rPr>
          <w:lang w:val="pl-PL"/>
        </w:rPr>
      </w:pPr>
      <w:r>
        <w:rPr>
          <w:lang w:val="pl-PL"/>
        </w:rPr>
        <w:t xml:space="preserve">Do końca </w:t>
      </w:r>
      <w:r w:rsidRPr="008762B2">
        <w:rPr>
          <w:lang w:val="pl-PL"/>
        </w:rPr>
        <w:t>2017 roku jedynie 39 proc. gmin</w:t>
      </w:r>
      <w:r>
        <w:rPr>
          <w:lang w:val="pl-PL"/>
        </w:rPr>
        <w:t xml:space="preserve"> uchwaliło projekty rewitalizacyjne.</w:t>
      </w:r>
      <w:r w:rsidR="00B65C7F">
        <w:rPr>
          <w:lang w:val="pl-PL"/>
        </w:rPr>
        <w:t xml:space="preserve"> Najlepiej radzi sobie Małopolska i miasta,  n</w:t>
      </w:r>
      <w:r>
        <w:rPr>
          <w:lang w:val="pl-PL"/>
        </w:rPr>
        <w:t xml:space="preserve">ajwiększe zaległości mają gminy wiejskie </w:t>
      </w:r>
      <w:r w:rsidR="00A746F6">
        <w:rPr>
          <w:lang w:val="pl-PL"/>
        </w:rPr>
        <w:t>oraz</w:t>
      </w:r>
      <w:r>
        <w:rPr>
          <w:lang w:val="pl-PL"/>
        </w:rPr>
        <w:t xml:space="preserve"> samorządowcy </w:t>
      </w:r>
      <w:r w:rsidR="00B65C7F">
        <w:rPr>
          <w:lang w:val="pl-PL"/>
        </w:rPr>
        <w:br/>
      </w:r>
      <w:r w:rsidR="008762B2">
        <w:rPr>
          <w:lang w:val="pl-PL"/>
        </w:rPr>
        <w:t>z województwa Pomorskiego</w:t>
      </w:r>
    </w:p>
    <w:p w:rsidR="007A5040" w:rsidRPr="00A93F45" w:rsidRDefault="007A5040" w:rsidP="007A5040">
      <w:pPr>
        <w:pStyle w:val="Tekstpodstawowy"/>
        <w:spacing w:line="360" w:lineRule="auto"/>
        <w:rPr>
          <w:sz w:val="20"/>
          <w:lang w:val="pl-PL"/>
        </w:rPr>
      </w:pPr>
    </w:p>
    <w:p w:rsidR="007A5040" w:rsidRPr="008762B2" w:rsidRDefault="00A06C3B" w:rsidP="00A06C3B">
      <w:pPr>
        <w:pStyle w:val="Tekstpodstawowy"/>
        <w:spacing w:line="360" w:lineRule="auto"/>
        <w:rPr>
          <w:sz w:val="20"/>
          <w:lang w:val="pl-PL"/>
        </w:rPr>
      </w:pPr>
      <w:r w:rsidRPr="00A06C3B">
        <w:rPr>
          <w:sz w:val="20"/>
          <w:lang w:val="pl-PL"/>
        </w:rPr>
        <w:t>Obecna perspektywa finansowa Unii Europejskiej (na lata 2014-2020) stworzyła polskim samorządo</w:t>
      </w:r>
      <w:r>
        <w:rPr>
          <w:sz w:val="20"/>
          <w:lang w:val="pl-PL"/>
        </w:rPr>
        <w:t xml:space="preserve">m wyjątkową okazję, by sięgnąć </w:t>
      </w:r>
      <w:r w:rsidRPr="00A06C3B">
        <w:rPr>
          <w:sz w:val="20"/>
          <w:lang w:val="pl-PL"/>
        </w:rPr>
        <w:t xml:space="preserve">po pokaźne pieniądze na inwestycje. Jednym z celów, na jaki mogą zdobyć wsparcie, jest rewitalizacja, czyli inwestycje na obszarach zdegradowanych społecznie i infrastrukturalnie. Łącznie w całej Polsce do wzięcia jest przynajmniej </w:t>
      </w:r>
      <w:r w:rsidRPr="006703C3">
        <w:rPr>
          <w:b/>
          <w:sz w:val="20"/>
          <w:lang w:val="pl-PL"/>
        </w:rPr>
        <w:t>6 mld zł</w:t>
      </w:r>
      <w:r w:rsidRPr="00A06C3B">
        <w:rPr>
          <w:sz w:val="20"/>
          <w:lang w:val="pl-PL"/>
        </w:rPr>
        <w:t xml:space="preserve"> (licząc </w:t>
      </w:r>
      <w:r w:rsidRPr="008762B2">
        <w:rPr>
          <w:sz w:val="20"/>
          <w:lang w:val="pl-PL"/>
        </w:rPr>
        <w:t>jedynie inwestycje infrastrukturalne, do tego dochodzą miliardy zł na projekty „miękkie”).</w:t>
      </w:r>
      <w:r w:rsidR="008762B2" w:rsidRPr="008762B2">
        <w:rPr>
          <w:sz w:val="20"/>
          <w:lang w:val="pl-PL"/>
        </w:rPr>
        <w:t xml:space="preserve"> Aby jednak samorządy miały możliwość sięgnięcia po te pieniądze, muszą przyjąć tzw. plany rewitalizacji i najlepiej, żeby zrobiły to najpóźniej do końca 2018 r. Czy się wyrobią? </w:t>
      </w:r>
    </w:p>
    <w:p w:rsidR="00A06C3B" w:rsidRPr="008762B2" w:rsidRDefault="00A06C3B" w:rsidP="00A06C3B">
      <w:pPr>
        <w:pStyle w:val="Tekstpodstawowy"/>
        <w:spacing w:line="360" w:lineRule="auto"/>
        <w:rPr>
          <w:sz w:val="20"/>
          <w:lang w:val="pl-PL"/>
        </w:rPr>
      </w:pPr>
    </w:p>
    <w:p w:rsidR="00A06C3B" w:rsidRDefault="00A06C3B" w:rsidP="00A06C3B">
      <w:pPr>
        <w:pStyle w:val="Tekstpodstawowy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Eksperci z Grant Thornton </w:t>
      </w:r>
      <w:r w:rsidR="00117E13">
        <w:rPr>
          <w:sz w:val="20"/>
          <w:lang w:val="pl-PL"/>
        </w:rPr>
        <w:t>sprawdzili</w:t>
      </w:r>
      <w:r w:rsidR="008762B2">
        <w:rPr>
          <w:sz w:val="20"/>
          <w:lang w:val="pl-PL"/>
        </w:rPr>
        <w:t>, jak zaawansowane są polskie samorządy w przyjmowaniu programów rewitalizacji. N</w:t>
      </w:r>
      <w:r w:rsidR="00117E13">
        <w:rPr>
          <w:sz w:val="20"/>
          <w:lang w:val="pl-PL"/>
        </w:rPr>
        <w:t>iestety</w:t>
      </w:r>
      <w:r w:rsidR="008762B2">
        <w:rPr>
          <w:sz w:val="20"/>
          <w:lang w:val="pl-PL"/>
        </w:rPr>
        <w:t>,</w:t>
      </w:r>
      <w:r w:rsidR="00117E13">
        <w:rPr>
          <w:sz w:val="20"/>
          <w:lang w:val="pl-PL"/>
        </w:rPr>
        <w:t xml:space="preserve"> wn</w:t>
      </w:r>
      <w:r w:rsidR="008762B2">
        <w:rPr>
          <w:sz w:val="20"/>
          <w:lang w:val="pl-PL"/>
        </w:rPr>
        <w:t>ioski nie napawają optymizmem. Jak wynika z raportu, d</w:t>
      </w:r>
      <w:r w:rsidR="00117E13">
        <w:rPr>
          <w:sz w:val="20"/>
          <w:lang w:val="pl-PL"/>
        </w:rPr>
        <w:t>o końca 2017</w:t>
      </w:r>
      <w:r w:rsidR="002A2C91">
        <w:rPr>
          <w:sz w:val="20"/>
          <w:lang w:val="pl-PL"/>
        </w:rPr>
        <w:t xml:space="preserve"> roku przyjęto do realizacji </w:t>
      </w:r>
      <w:r w:rsidR="008762B2">
        <w:rPr>
          <w:b/>
          <w:sz w:val="20"/>
          <w:lang w:val="pl-PL"/>
        </w:rPr>
        <w:t>977 programów</w:t>
      </w:r>
      <w:r w:rsidR="002A2C91">
        <w:rPr>
          <w:sz w:val="20"/>
          <w:lang w:val="pl-PL"/>
        </w:rPr>
        <w:t>, co oznacza, że</w:t>
      </w:r>
      <w:r w:rsidR="00117E13">
        <w:rPr>
          <w:sz w:val="20"/>
          <w:lang w:val="pl-PL"/>
        </w:rPr>
        <w:t xml:space="preserve"> jedynie </w:t>
      </w:r>
      <w:r w:rsidR="00117E13" w:rsidRPr="006703C3">
        <w:rPr>
          <w:b/>
          <w:sz w:val="20"/>
          <w:lang w:val="pl-PL"/>
        </w:rPr>
        <w:t>39 proc.</w:t>
      </w:r>
      <w:r w:rsidR="00117E13">
        <w:rPr>
          <w:sz w:val="20"/>
          <w:lang w:val="pl-PL"/>
        </w:rPr>
        <w:t xml:space="preserve"> gmin uchwa</w:t>
      </w:r>
      <w:r w:rsidR="002A2C91">
        <w:rPr>
          <w:sz w:val="20"/>
          <w:lang w:val="pl-PL"/>
        </w:rPr>
        <w:t>liło plany</w:t>
      </w:r>
      <w:r w:rsidR="00117E13">
        <w:rPr>
          <w:sz w:val="20"/>
          <w:lang w:val="pl-PL"/>
        </w:rPr>
        <w:t xml:space="preserve"> rewitalizac</w:t>
      </w:r>
      <w:r w:rsidR="003B35B1">
        <w:rPr>
          <w:sz w:val="20"/>
          <w:lang w:val="pl-PL"/>
        </w:rPr>
        <w:t>yjne, a miały na to czas już od 2015 roku</w:t>
      </w:r>
      <w:r w:rsidR="004B6086">
        <w:rPr>
          <w:sz w:val="20"/>
          <w:lang w:val="pl-PL"/>
        </w:rPr>
        <w:t>. Istnieje tym sa</w:t>
      </w:r>
      <w:r w:rsidR="008762B2">
        <w:rPr>
          <w:sz w:val="20"/>
          <w:lang w:val="pl-PL"/>
        </w:rPr>
        <w:t xml:space="preserve">mym poważne ryzyko, że wiele </w:t>
      </w:r>
      <w:r w:rsidR="004B6086">
        <w:rPr>
          <w:sz w:val="20"/>
          <w:lang w:val="pl-PL"/>
        </w:rPr>
        <w:t xml:space="preserve">samorządów nie zdąży z zatwierdzeniem programów do końca 2018 roku, co oznaczałoby w praktyce </w:t>
      </w:r>
      <w:r w:rsidR="003B35B1">
        <w:rPr>
          <w:sz w:val="20"/>
          <w:lang w:val="pl-PL"/>
        </w:rPr>
        <w:t xml:space="preserve">brak możliwości </w:t>
      </w:r>
      <w:r w:rsidR="008762B2">
        <w:rPr>
          <w:sz w:val="20"/>
          <w:lang w:val="pl-PL"/>
        </w:rPr>
        <w:t>pozyskania dofinansowania na projekty realizacyjne</w:t>
      </w:r>
      <w:r w:rsidR="003B35B1">
        <w:rPr>
          <w:sz w:val="20"/>
          <w:lang w:val="pl-PL"/>
        </w:rPr>
        <w:t xml:space="preserve"> w tej perspektywie finansowej. </w:t>
      </w:r>
    </w:p>
    <w:p w:rsidR="003B35B1" w:rsidRPr="00B32719" w:rsidRDefault="003B35B1" w:rsidP="00A06C3B">
      <w:pPr>
        <w:pStyle w:val="Tekstpodstawowy"/>
        <w:spacing w:line="360" w:lineRule="auto"/>
        <w:rPr>
          <w:sz w:val="20"/>
          <w:lang w:val="pl-PL"/>
        </w:rPr>
      </w:pPr>
    </w:p>
    <w:p w:rsidR="00B86408" w:rsidRDefault="00C476A1" w:rsidP="007A5040">
      <w:pPr>
        <w:pStyle w:val="Tekstpodstawowy"/>
        <w:spacing w:line="360" w:lineRule="auto"/>
        <w:rPr>
          <w:sz w:val="20"/>
          <w:lang w:val="pl-PL"/>
        </w:rPr>
      </w:pPr>
      <w:r w:rsidRPr="00C476A1"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1F543" wp14:editId="22EAE854">
                <wp:simplePos x="0" y="0"/>
                <wp:positionH relativeFrom="column">
                  <wp:posOffset>-82550</wp:posOffset>
                </wp:positionH>
                <wp:positionV relativeFrom="paragraph">
                  <wp:posOffset>12700</wp:posOffset>
                </wp:positionV>
                <wp:extent cx="6578600" cy="230505"/>
                <wp:effectExtent l="0" t="0" r="0" b="0"/>
                <wp:wrapNone/>
                <wp:docPr id="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76A1" w:rsidRPr="00B32719" w:rsidRDefault="00C476A1" w:rsidP="00C476A1">
                            <w:pPr>
                              <w:pStyle w:val="NormalnyWeb"/>
                              <w:spacing w:after="0"/>
                              <w:rPr>
                                <w:rFonts w:asciiTheme="majorHAnsi" w:hAnsiTheme="majorHAnsi" w:cstheme="majorHAnsi"/>
                                <w:sz w:val="22"/>
                                <w:lang w:val="pl-PL"/>
                              </w:rPr>
                            </w:pPr>
                            <w:r w:rsidRPr="00B3271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Wykres 1:</w:t>
                            </w:r>
                            <w:r w:rsidR="003B35B1" w:rsidRPr="003B35B1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 Liczba przyjętych programów rewitalizacji (dane skumulowane, linia fioletowa). Na zielono zaznaczone daty uzyskania wpisów do wykazów programów rewitalizacji prowadzonych przez urzędy marszałkowskie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C1F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.5pt;margin-top:1pt;width:518pt;height:1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" filled="f" stroked="f">
                <v:textbox style="mso-fit-shape-to-text:t">
                  <w:txbxContent>
                    <w:p w:rsidR="00C476A1" w:rsidRPr="00B32719" w:rsidRDefault="00C476A1" w:rsidP="00C476A1">
                      <w:pPr>
                        <w:pStyle w:val="NormalnyWeb"/>
                        <w:spacing w:after="0"/>
                        <w:rPr>
                          <w:rFonts w:asciiTheme="majorHAnsi" w:hAnsiTheme="majorHAnsi" w:cstheme="majorHAnsi"/>
                          <w:sz w:val="22"/>
                          <w:lang w:val="pl-PL"/>
                        </w:rPr>
                      </w:pPr>
                      <w:r w:rsidRPr="00B3271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Wykres 1:</w:t>
                      </w:r>
                      <w:r w:rsidR="003B35B1" w:rsidRPr="003B35B1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 Liczba przyjętych programów rewitalizacji (dane skumulowane, linia fioletowa). Na zielono zaznaczone daty uzyskania wpisów do wykazów programów rewitalizacji prowadzonych przez urzędy marszałkowskie</w:t>
                      </w:r>
                    </w:p>
                  </w:txbxContent>
                </v:textbox>
              </v:shape>
            </w:pict>
          </mc:Fallback>
        </mc:AlternateContent>
      </w:r>
    </w:p>
    <w:p w:rsidR="007A5040" w:rsidRDefault="007A5040" w:rsidP="007A5040">
      <w:pPr>
        <w:pStyle w:val="Tekstpodstawowy"/>
        <w:spacing w:line="360" w:lineRule="auto"/>
        <w:rPr>
          <w:sz w:val="20"/>
          <w:lang w:val="pl-PL"/>
        </w:rPr>
      </w:pPr>
    </w:p>
    <w:p w:rsidR="003B35B1" w:rsidRPr="00B32719" w:rsidRDefault="003B35B1" w:rsidP="007A5040">
      <w:pPr>
        <w:pStyle w:val="Tekstpodstawowy"/>
        <w:spacing w:line="360" w:lineRule="auto"/>
        <w:rPr>
          <w:sz w:val="20"/>
          <w:lang w:val="pl-PL"/>
        </w:rPr>
      </w:pPr>
      <w:r>
        <w:rPr>
          <w:noProof/>
          <w:sz w:val="20"/>
          <w:lang w:val="pl-PL" w:eastAsia="pl-PL"/>
        </w:rPr>
        <w:drawing>
          <wp:inline distT="0" distB="0" distL="0" distR="0" wp14:anchorId="35FA19B4">
            <wp:extent cx="6376946" cy="31725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4"/>
                    <a:stretch/>
                  </pic:blipFill>
                  <pic:spPr bwMode="auto">
                    <a:xfrm>
                      <a:off x="0" y="0"/>
                      <a:ext cx="6384691" cy="31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216" w:rsidRDefault="00B32719" w:rsidP="007A5040">
      <w:pPr>
        <w:pStyle w:val="Tekstpodstawowy"/>
        <w:spacing w:line="360" w:lineRule="auto"/>
        <w:rPr>
          <w:sz w:val="20"/>
          <w:lang w:val="pl-PL"/>
        </w:rPr>
      </w:pPr>
      <w:r w:rsidRPr="00F308FB">
        <w:rPr>
          <w:noProof/>
          <w:sz w:val="20"/>
          <w:lang w:val="pl-PL" w:eastAsia="pl-PL"/>
        </w:rPr>
        <w:drawing>
          <wp:anchor distT="0" distB="0" distL="114300" distR="114300" simplePos="0" relativeHeight="251652096" behindDoc="0" locked="0" layoutInCell="1" allowOverlap="1" wp14:anchorId="49518441" wp14:editId="574B82D6">
            <wp:simplePos x="0" y="0"/>
            <wp:positionH relativeFrom="column">
              <wp:posOffset>-17780</wp:posOffset>
            </wp:positionH>
            <wp:positionV relativeFrom="paragraph">
              <wp:posOffset>250825</wp:posOffset>
            </wp:positionV>
            <wp:extent cx="660400" cy="615950"/>
            <wp:effectExtent l="0" t="0" r="6350" b="0"/>
            <wp:wrapSquare wrapText="bothSides"/>
            <wp:docPr id="1" name="Obraz 1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15C" w:rsidRPr="00EA515C" w:rsidRDefault="00EA515C" w:rsidP="00EA515C">
      <w:pPr>
        <w:pStyle w:val="Tekstpodstawowy"/>
        <w:spacing w:after="0" w:line="480" w:lineRule="auto"/>
        <w:rPr>
          <w:sz w:val="20"/>
          <w:lang w:val="pl-PL"/>
        </w:rPr>
      </w:pPr>
      <w:r w:rsidRPr="00EA515C">
        <w:rPr>
          <w:sz w:val="20"/>
          <w:lang w:val="pl-PL"/>
        </w:rPr>
        <w:t xml:space="preserve">Trzeba przyznać, że przygotowanie programu nie jest proste, zwłaszcza jeśli samorząd przygotowuje go po raz pierwszy. Z pewnością nie jest to jednak zadanie niewykonalne, </w:t>
      </w:r>
    </w:p>
    <w:p w:rsidR="00DB5FA3" w:rsidRDefault="00EA515C" w:rsidP="00EA515C">
      <w:pPr>
        <w:pStyle w:val="Tekstpodstawowy"/>
        <w:spacing w:after="0" w:line="480" w:lineRule="auto"/>
        <w:rPr>
          <w:sz w:val="20"/>
          <w:lang w:val="pl-PL"/>
        </w:rPr>
      </w:pPr>
      <w:r w:rsidRPr="00EA515C">
        <w:rPr>
          <w:sz w:val="20"/>
          <w:lang w:val="pl-PL"/>
        </w:rPr>
        <w:t>skoro już tysiąc s</w:t>
      </w:r>
      <w:r>
        <w:rPr>
          <w:sz w:val="20"/>
          <w:lang w:val="pl-PL"/>
        </w:rPr>
        <w:t>amorządów z nim sobie poradziło –</w:t>
      </w:r>
      <w:r w:rsidR="000B58A3">
        <w:rPr>
          <w:sz w:val="20"/>
          <w:lang w:val="pl-PL"/>
        </w:rPr>
        <w:t xml:space="preserve"> konkluduj</w:t>
      </w:r>
      <w:r>
        <w:rPr>
          <w:sz w:val="20"/>
          <w:lang w:val="pl-PL"/>
        </w:rPr>
        <w:t xml:space="preserve">e </w:t>
      </w:r>
      <w:r w:rsidRPr="00B876AA">
        <w:rPr>
          <w:b/>
          <w:color w:val="4F2D7F"/>
          <w:sz w:val="20"/>
          <w:lang w:val="pl-PL"/>
        </w:rPr>
        <w:t>Maria Murawska</w:t>
      </w:r>
      <w:r w:rsidRPr="00EA515C">
        <w:rPr>
          <w:b/>
          <w:color w:val="7030A0"/>
          <w:sz w:val="20"/>
          <w:lang w:val="pl-PL"/>
        </w:rPr>
        <w:t xml:space="preserve">, </w:t>
      </w:r>
      <w:r w:rsidR="009442B2">
        <w:rPr>
          <w:color w:val="000000" w:themeColor="text1"/>
          <w:sz w:val="20"/>
          <w:lang w:val="pl-PL"/>
        </w:rPr>
        <w:t xml:space="preserve">Senior Menedżer </w:t>
      </w:r>
      <w:r w:rsidR="00481636">
        <w:rPr>
          <w:color w:val="000000" w:themeColor="text1"/>
          <w:sz w:val="20"/>
          <w:lang w:val="pl-PL"/>
        </w:rPr>
        <w:br/>
      </w:r>
      <w:r w:rsidR="009442B2">
        <w:rPr>
          <w:color w:val="000000" w:themeColor="text1"/>
          <w:sz w:val="20"/>
          <w:lang w:val="pl-PL"/>
        </w:rPr>
        <w:t xml:space="preserve">w  Doradztwie Europejskim, </w:t>
      </w:r>
      <w:r w:rsidRPr="00B876AA">
        <w:rPr>
          <w:b/>
          <w:color w:val="4F2D7F"/>
          <w:sz w:val="20"/>
          <w:lang w:val="pl-PL"/>
        </w:rPr>
        <w:t>Grant Thornton</w:t>
      </w:r>
      <w:r>
        <w:rPr>
          <w:sz w:val="20"/>
          <w:lang w:val="pl-PL"/>
        </w:rPr>
        <w:t>.</w:t>
      </w:r>
    </w:p>
    <w:p w:rsidR="00D21A0E" w:rsidRDefault="00D21A0E" w:rsidP="00643F48">
      <w:pPr>
        <w:pStyle w:val="Tekstpodstawowy"/>
        <w:spacing w:line="360" w:lineRule="auto"/>
        <w:rPr>
          <w:sz w:val="20"/>
          <w:lang w:val="pl-PL"/>
        </w:rPr>
      </w:pPr>
    </w:p>
    <w:p w:rsidR="00EA515C" w:rsidRDefault="008762B2" w:rsidP="00643F48">
      <w:pPr>
        <w:pStyle w:val="Tekstpodstawowy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Duże</w:t>
      </w:r>
      <w:r w:rsidR="00B65C7F">
        <w:rPr>
          <w:sz w:val="20"/>
          <w:lang w:val="pl-PL"/>
        </w:rPr>
        <w:t xml:space="preserve"> różnice </w:t>
      </w:r>
      <w:r w:rsidR="00A746F6">
        <w:rPr>
          <w:sz w:val="20"/>
          <w:lang w:val="pl-PL"/>
        </w:rPr>
        <w:t xml:space="preserve">w </w:t>
      </w:r>
      <w:r>
        <w:rPr>
          <w:sz w:val="20"/>
          <w:lang w:val="pl-PL"/>
        </w:rPr>
        <w:t>stanie zaawansowania samorządów</w:t>
      </w:r>
      <w:r w:rsidR="00A746F6">
        <w:rPr>
          <w:sz w:val="20"/>
          <w:lang w:val="pl-PL"/>
        </w:rPr>
        <w:t xml:space="preserve"> widać między gminami miejskimi i wiejskimi. O ile niemal </w:t>
      </w:r>
      <w:r w:rsidR="00A746F6" w:rsidRPr="00A746F6">
        <w:rPr>
          <w:b/>
          <w:sz w:val="20"/>
          <w:lang w:val="pl-PL"/>
        </w:rPr>
        <w:t>68 proc.</w:t>
      </w:r>
      <w:r w:rsidR="00A746F6">
        <w:rPr>
          <w:sz w:val="20"/>
          <w:lang w:val="pl-PL"/>
        </w:rPr>
        <w:t xml:space="preserve"> samorządó</w:t>
      </w:r>
      <w:r>
        <w:rPr>
          <w:sz w:val="20"/>
          <w:lang w:val="pl-PL"/>
        </w:rPr>
        <w:t>w miejskich miało przyjęte programy</w:t>
      </w:r>
      <w:r w:rsidR="00A746F6">
        <w:rPr>
          <w:sz w:val="20"/>
          <w:lang w:val="pl-PL"/>
        </w:rPr>
        <w:t xml:space="preserve"> rewitalizacyjne, o tyle wśród włodarzy wiejskich </w:t>
      </w:r>
      <w:r w:rsidR="00A746F6" w:rsidRPr="00A746F6">
        <w:rPr>
          <w:b/>
          <w:sz w:val="20"/>
          <w:lang w:val="pl-PL"/>
        </w:rPr>
        <w:t>jedynie 29 proc.</w:t>
      </w:r>
      <w:r w:rsidR="00A746F6">
        <w:rPr>
          <w:sz w:val="20"/>
          <w:lang w:val="pl-PL"/>
        </w:rPr>
        <w:t xml:space="preserve"> wykonało wysiłek i może pochwalić się przyjętym projektem. </w:t>
      </w:r>
    </w:p>
    <w:p w:rsidR="0091271F" w:rsidRDefault="0091271F" w:rsidP="00643F48">
      <w:pPr>
        <w:pStyle w:val="Tekstpodstawowy"/>
        <w:spacing w:line="360" w:lineRule="auto"/>
        <w:rPr>
          <w:sz w:val="20"/>
          <w:lang w:val="pl-PL"/>
        </w:rPr>
      </w:pPr>
    </w:p>
    <w:p w:rsidR="00CF3180" w:rsidRDefault="008762B2" w:rsidP="00643F48">
      <w:pPr>
        <w:pStyle w:val="Tekstpodstawowy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Jeszcze silniejsze zróżnicowanie</w:t>
      </w:r>
      <w:r w:rsidR="0091271F">
        <w:rPr>
          <w:sz w:val="20"/>
          <w:lang w:val="pl-PL"/>
        </w:rPr>
        <w:t xml:space="preserve"> widać</w:t>
      </w:r>
      <w:r w:rsidR="009442B2">
        <w:rPr>
          <w:sz w:val="20"/>
          <w:lang w:val="pl-PL"/>
        </w:rPr>
        <w:t xml:space="preserve"> </w:t>
      </w:r>
      <w:r>
        <w:rPr>
          <w:sz w:val="20"/>
          <w:lang w:val="pl-PL"/>
        </w:rPr>
        <w:t>w ujęciu terytorialnym</w:t>
      </w:r>
      <w:r w:rsidR="0091271F">
        <w:rPr>
          <w:sz w:val="20"/>
          <w:lang w:val="pl-PL"/>
        </w:rPr>
        <w:t xml:space="preserve"> –</w:t>
      </w:r>
      <w:r w:rsidR="00A96D05">
        <w:rPr>
          <w:sz w:val="20"/>
          <w:lang w:val="pl-PL"/>
        </w:rPr>
        <w:t xml:space="preserve"> z jednej strony</w:t>
      </w:r>
      <w:r>
        <w:rPr>
          <w:sz w:val="20"/>
          <w:lang w:val="pl-PL"/>
        </w:rPr>
        <w:t>, z województwie małopolskim aż</w:t>
      </w:r>
      <w:r w:rsidR="00A96D05">
        <w:rPr>
          <w:sz w:val="20"/>
          <w:lang w:val="pl-PL"/>
        </w:rPr>
        <w:t xml:space="preserve"> </w:t>
      </w:r>
      <w:r w:rsidR="00A96D05" w:rsidRPr="00CF3180">
        <w:rPr>
          <w:b/>
          <w:sz w:val="20"/>
          <w:lang w:val="pl-PL"/>
        </w:rPr>
        <w:t>74,2 proc.</w:t>
      </w:r>
      <w:r w:rsidR="00A96D05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samorządów </w:t>
      </w:r>
      <w:r w:rsidR="00481636">
        <w:rPr>
          <w:sz w:val="20"/>
          <w:lang w:val="pl-PL"/>
        </w:rPr>
        <w:t>przyjęło</w:t>
      </w:r>
      <w:r>
        <w:rPr>
          <w:sz w:val="20"/>
          <w:lang w:val="pl-PL"/>
        </w:rPr>
        <w:t xml:space="preserve"> programy</w:t>
      </w:r>
      <w:r w:rsidR="00A96D05">
        <w:rPr>
          <w:sz w:val="20"/>
          <w:lang w:val="pl-PL"/>
        </w:rPr>
        <w:t xml:space="preserve"> rewi</w:t>
      </w:r>
      <w:r>
        <w:rPr>
          <w:sz w:val="20"/>
          <w:lang w:val="pl-PL"/>
        </w:rPr>
        <w:t>talizacji.</w:t>
      </w:r>
      <w:r w:rsidR="001D0B50">
        <w:rPr>
          <w:sz w:val="20"/>
          <w:lang w:val="pl-PL"/>
        </w:rPr>
        <w:t xml:space="preserve"> Z drugiej</w:t>
      </w:r>
      <w:r>
        <w:rPr>
          <w:sz w:val="20"/>
          <w:lang w:val="pl-PL"/>
        </w:rPr>
        <w:t xml:space="preserve"> –</w:t>
      </w:r>
      <w:r w:rsidR="001D0B50">
        <w:rPr>
          <w:sz w:val="20"/>
          <w:lang w:val="pl-PL"/>
        </w:rPr>
        <w:t xml:space="preserve"> alarmując</w:t>
      </w:r>
      <w:r>
        <w:rPr>
          <w:sz w:val="20"/>
          <w:lang w:val="pl-PL"/>
        </w:rPr>
        <w:t>e są doniesienia z województwa p</w:t>
      </w:r>
      <w:r w:rsidR="001D0B50">
        <w:rPr>
          <w:sz w:val="20"/>
          <w:lang w:val="pl-PL"/>
        </w:rPr>
        <w:t xml:space="preserve">omorskiego, gdzie jedynie </w:t>
      </w:r>
      <w:r w:rsidR="001D0B50" w:rsidRPr="00CF3180">
        <w:rPr>
          <w:b/>
          <w:sz w:val="20"/>
          <w:lang w:val="pl-PL"/>
        </w:rPr>
        <w:t xml:space="preserve">8 proc. </w:t>
      </w:r>
      <w:r w:rsidR="00481636">
        <w:rPr>
          <w:sz w:val="20"/>
          <w:lang w:val="pl-PL"/>
        </w:rPr>
        <w:t xml:space="preserve">gmin ma zaakceptowane </w:t>
      </w:r>
      <w:r w:rsidR="001D0B50">
        <w:rPr>
          <w:sz w:val="20"/>
          <w:lang w:val="pl-PL"/>
        </w:rPr>
        <w:t xml:space="preserve">projekty. </w:t>
      </w:r>
    </w:p>
    <w:p w:rsidR="00CF3180" w:rsidRDefault="00CF3180" w:rsidP="00643F48">
      <w:pPr>
        <w:pStyle w:val="Tekstpodstawowy"/>
        <w:spacing w:line="360" w:lineRule="auto"/>
        <w:rPr>
          <w:sz w:val="20"/>
          <w:lang w:val="pl-PL"/>
        </w:rPr>
      </w:pPr>
      <w:r w:rsidRPr="00CF3180">
        <w:rPr>
          <w:noProof/>
          <w:sz w:val="20"/>
          <w:lang w:val="pl-PL" w:eastAsia="pl-PL"/>
        </w:rPr>
        <w:lastRenderedPageBreak/>
        <w:drawing>
          <wp:inline distT="0" distB="0" distL="0" distR="0" wp14:anchorId="7E061166" wp14:editId="49D6615A">
            <wp:extent cx="6517019" cy="452947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1F60FC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ECB50" wp14:editId="428A8FC2">
                <wp:simplePos x="0" y="0"/>
                <wp:positionH relativeFrom="column">
                  <wp:posOffset>-40640</wp:posOffset>
                </wp:positionH>
                <wp:positionV relativeFrom="paragraph">
                  <wp:posOffset>-100965</wp:posOffset>
                </wp:positionV>
                <wp:extent cx="6559550" cy="230505"/>
                <wp:effectExtent l="0" t="0" r="0" b="0"/>
                <wp:wrapNone/>
                <wp:docPr id="1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0FC" w:rsidRPr="00D21A0E" w:rsidRDefault="00D21A0E" w:rsidP="001F60FC">
                            <w:pPr>
                              <w:pStyle w:val="NormalnyWeb"/>
                              <w:spacing w:after="0"/>
                              <w:rPr>
                                <w:sz w:val="22"/>
                                <w:lang w:val="pl-PL"/>
                              </w:rPr>
                            </w:pPr>
                            <w:r w:rsidRPr="005B1EAB">
                              <w:rPr>
                                <w:rFonts w:asciiTheme="minorHAnsi" w:hAnsi="Arial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Wykres 2</w:t>
                            </w:r>
                            <w:r w:rsidR="001F60FC" w:rsidRPr="005B1EAB">
                              <w:rPr>
                                <w:rFonts w:asciiTheme="minorHAnsi" w:hAnsi="Arial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:</w:t>
                            </w:r>
                            <w:r w:rsidR="001F60FC" w:rsidRPr="00D21A0E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CF3180" w:rsidRPr="00CF3180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Odsetek wszystkich gmin w danym województwi</w:t>
                            </w:r>
                            <w:r w:rsidR="00CF3180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 xml:space="preserve">e, </w:t>
                            </w:r>
                            <w:r w:rsidR="00CF3180" w:rsidRPr="00CF3180"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  <w:t>które przyjęły do końca 2017 r. programy rewitalizacji (w proc.)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ECB50" id="pole tekstowe 2" o:spid="_x0000_s1027" type="#_x0000_t202" style="position:absolute;margin-left:-3.2pt;margin-top:-7.95pt;width:516.5pt;height:1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" filled="f" stroked="f">
                <v:textbox style="mso-fit-shape-to-text:t">
                  <w:txbxContent>
                    <w:p w:rsidR="001F60FC" w:rsidRPr="00D21A0E" w:rsidRDefault="00D21A0E" w:rsidP="001F60FC">
                      <w:pPr>
                        <w:pStyle w:val="NormalnyWeb"/>
                        <w:spacing w:after="0"/>
                        <w:rPr>
                          <w:sz w:val="22"/>
                          <w:lang w:val="pl-PL"/>
                        </w:rPr>
                      </w:pPr>
                      <w:r w:rsidRPr="005B1EAB">
                        <w:rPr>
                          <w:rFonts w:asciiTheme="minorHAnsi" w:hAnsi="Arial" w:cstheme="minorBid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Wykres 2</w:t>
                      </w:r>
                      <w:r w:rsidR="001F60FC" w:rsidRPr="005B1EAB">
                        <w:rPr>
                          <w:rFonts w:asciiTheme="minorHAnsi" w:hAnsi="Arial" w:cstheme="minorBidi"/>
                          <w:b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:</w:t>
                      </w:r>
                      <w:r w:rsidR="001F60FC" w:rsidRPr="00D21A0E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 </w:t>
                      </w:r>
                      <w:r w:rsidR="00CF3180" w:rsidRPr="00CF3180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Odsetek wszystkich gmin w danym województwi</w:t>
                      </w:r>
                      <w:r w:rsidR="00CF3180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 xml:space="preserve">e, </w:t>
                      </w:r>
                      <w:r w:rsidR="00CF3180" w:rsidRPr="00CF3180"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  <w:t>które przyjęły do końca 2017 r. programy rewitalizacji (w proc.)</w:t>
                      </w:r>
                    </w:p>
                  </w:txbxContent>
                </v:textbox>
              </v:shape>
            </w:pict>
          </mc:Fallback>
        </mc:AlternateContent>
      </w:r>
    </w:p>
    <w:p w:rsidR="00CF3180" w:rsidRDefault="00CF3180" w:rsidP="00643F48">
      <w:pPr>
        <w:pStyle w:val="Tekstpodstawowy"/>
        <w:spacing w:line="360" w:lineRule="auto"/>
        <w:rPr>
          <w:sz w:val="20"/>
          <w:lang w:val="pl-PL"/>
        </w:rPr>
      </w:pPr>
    </w:p>
    <w:p w:rsidR="0091271F" w:rsidRDefault="00CF3180" w:rsidP="00643F48">
      <w:pPr>
        <w:pStyle w:val="Tekstpodstawowy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Skąd wynikają tak duże różnice? </w:t>
      </w:r>
      <w:r w:rsidRPr="00CF3180">
        <w:rPr>
          <w:sz w:val="20"/>
          <w:lang w:val="pl-PL"/>
        </w:rPr>
        <w:t>To w dużej mierze skutek działań urzędów marszałkowskich odpowiedzianych</w:t>
      </w:r>
      <w:r w:rsidRPr="00CF3180">
        <w:rPr>
          <w:sz w:val="20"/>
          <w:lang w:val="pl-PL"/>
        </w:rPr>
        <w:br/>
        <w:t>za rew</w:t>
      </w:r>
      <w:r w:rsidR="009442B2">
        <w:rPr>
          <w:sz w:val="20"/>
          <w:lang w:val="pl-PL"/>
        </w:rPr>
        <w:t>it</w:t>
      </w:r>
      <w:r w:rsidR="0073335B">
        <w:rPr>
          <w:sz w:val="20"/>
          <w:lang w:val="pl-PL"/>
        </w:rPr>
        <w:t>alizację w danym województwie –</w:t>
      </w:r>
      <w:r w:rsidR="000B58A3">
        <w:rPr>
          <w:sz w:val="20"/>
          <w:lang w:val="pl-PL"/>
        </w:rPr>
        <w:t xml:space="preserve"> te które </w:t>
      </w:r>
      <w:r w:rsidR="000B58A3" w:rsidRPr="000B58A3">
        <w:rPr>
          <w:sz w:val="20"/>
          <w:lang w:val="pl-PL"/>
        </w:rPr>
        <w:t>opracowały jaśniejsze wytyczne do przygotowania programów,  wprowadziły mniejsze wymagania czy prowadzą sprawniejszą ocenę programów</w:t>
      </w:r>
      <w:r w:rsidR="0073335B">
        <w:rPr>
          <w:sz w:val="20"/>
          <w:lang w:val="pl-PL"/>
        </w:rPr>
        <w:t>,</w:t>
      </w:r>
      <w:r w:rsidR="000B58A3">
        <w:rPr>
          <w:sz w:val="20"/>
          <w:lang w:val="pl-PL"/>
        </w:rPr>
        <w:t xml:space="preserve"> osiągnęły zdecydowanie lepsze rezultaty. </w:t>
      </w:r>
      <w:r w:rsidR="00D25646">
        <w:rPr>
          <w:sz w:val="20"/>
          <w:lang w:val="pl-PL"/>
        </w:rPr>
        <w:t>Część samorządów tłumaczy również brak uchwalonych projektów nieobecnością terenów zdegradowanych, które mogłyby podlegać rewitalizacji.</w:t>
      </w:r>
    </w:p>
    <w:p w:rsidR="005B1EAB" w:rsidRDefault="005B1EAB" w:rsidP="00643F48">
      <w:pPr>
        <w:pStyle w:val="Tekstpodstawowy"/>
        <w:spacing w:line="360" w:lineRule="auto"/>
        <w:rPr>
          <w:sz w:val="20"/>
          <w:lang w:val="pl-PL"/>
        </w:rPr>
      </w:pPr>
      <w:r w:rsidRPr="00F308FB">
        <w:rPr>
          <w:noProof/>
          <w:sz w:val="20"/>
          <w:lang w:val="pl-PL" w:eastAsia="pl-PL"/>
        </w:rPr>
        <w:drawing>
          <wp:anchor distT="0" distB="0" distL="114300" distR="114300" simplePos="0" relativeHeight="251656192" behindDoc="0" locked="0" layoutInCell="1" allowOverlap="1" wp14:anchorId="0CF62A99" wp14:editId="5ACCF4F7">
            <wp:simplePos x="0" y="0"/>
            <wp:positionH relativeFrom="column">
              <wp:posOffset>-44450</wp:posOffset>
            </wp:positionH>
            <wp:positionV relativeFrom="paragraph">
              <wp:posOffset>194310</wp:posOffset>
            </wp:positionV>
            <wp:extent cx="660400" cy="615950"/>
            <wp:effectExtent l="0" t="0" r="6350" b="0"/>
            <wp:wrapSquare wrapText="bothSides"/>
            <wp:docPr id="2" name="Obraz 2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40" w:rsidRPr="000B58A3" w:rsidRDefault="009442B2" w:rsidP="000B58A3">
      <w:pPr>
        <w:pStyle w:val="Tekstpodstawowy"/>
        <w:spacing w:after="0" w:line="480" w:lineRule="auto"/>
        <w:rPr>
          <w:b/>
          <w:color w:val="7030A0"/>
          <w:sz w:val="20"/>
          <w:lang w:val="pl-PL"/>
        </w:rPr>
      </w:pPr>
      <w:r>
        <w:rPr>
          <w:sz w:val="20"/>
          <w:lang w:val="pl-PL"/>
        </w:rPr>
        <w:t>Trudno jednak</w:t>
      </w:r>
      <w:r w:rsidR="00D25646" w:rsidRPr="00D25646">
        <w:rPr>
          <w:sz w:val="20"/>
          <w:lang w:val="pl-PL"/>
        </w:rPr>
        <w:t xml:space="preserve"> przyjąć wyjaśnienia, że na terenie danej gminy </w:t>
      </w:r>
      <w:r w:rsidR="000B58A3">
        <w:rPr>
          <w:sz w:val="20"/>
          <w:lang w:val="pl-PL"/>
        </w:rPr>
        <w:t xml:space="preserve">nie ma obszarów zdegradowanych – komentuje </w:t>
      </w:r>
      <w:r w:rsidR="000B58A3" w:rsidRPr="00B876AA">
        <w:rPr>
          <w:b/>
          <w:color w:val="4F2D7F"/>
          <w:sz w:val="20"/>
          <w:lang w:val="pl-PL"/>
        </w:rPr>
        <w:t>Maria Murawska</w:t>
      </w:r>
      <w:r w:rsidR="000B58A3">
        <w:rPr>
          <w:b/>
          <w:color w:val="7030A0"/>
          <w:sz w:val="20"/>
          <w:lang w:val="pl-PL"/>
        </w:rPr>
        <w:t xml:space="preserve"> –</w:t>
      </w:r>
      <w:r w:rsidR="000B58A3">
        <w:rPr>
          <w:sz w:val="20"/>
          <w:lang w:val="pl-PL"/>
        </w:rPr>
        <w:t xml:space="preserve"> </w:t>
      </w:r>
      <w:r w:rsidR="00D25646" w:rsidRPr="00D25646">
        <w:rPr>
          <w:sz w:val="20"/>
          <w:lang w:val="pl-PL"/>
        </w:rPr>
        <w:t>Zgodnie z przepisami, obszary te wyznacza się w relacji dla średniej w całej gminie, więc zawsze jaki</w:t>
      </w:r>
      <w:r w:rsidR="000B58A3">
        <w:rPr>
          <w:sz w:val="20"/>
          <w:lang w:val="pl-PL"/>
        </w:rPr>
        <w:t xml:space="preserve">ś obszar odstaje na niekorzyść </w:t>
      </w:r>
      <w:r w:rsidR="00D25646" w:rsidRPr="00D25646">
        <w:rPr>
          <w:sz w:val="20"/>
          <w:lang w:val="pl-PL"/>
        </w:rPr>
        <w:t>od tej średniej. Gdyby punktem odniesienia była np. średnia krajowa albo wojewódzka, wówczas faktycznie można by stwierdzić, że część gmin na całym terenie przewyższa średnią. W omawianym przypadku nie może być jednak o tym mowy.</w:t>
      </w:r>
    </w:p>
    <w:p w:rsidR="005B1EAB" w:rsidRDefault="005B1EAB" w:rsidP="00643F48">
      <w:pPr>
        <w:pStyle w:val="Tekstpodstawowy"/>
        <w:spacing w:line="360" w:lineRule="auto"/>
        <w:rPr>
          <w:sz w:val="20"/>
          <w:lang w:val="pl-PL"/>
        </w:rPr>
      </w:pPr>
    </w:p>
    <w:p w:rsidR="004C5370" w:rsidRDefault="004C5370">
      <w:pPr>
        <w:spacing w:after="0" w:line="240" w:lineRule="auto"/>
        <w:rPr>
          <w:sz w:val="20"/>
          <w:lang w:val="pl-PL"/>
        </w:rPr>
      </w:pPr>
      <w:r>
        <w:rPr>
          <w:sz w:val="20"/>
          <w:lang w:val="pl-PL"/>
        </w:rPr>
        <w:br w:type="page"/>
      </w:r>
    </w:p>
    <w:p w:rsidR="007A5040" w:rsidRDefault="005B1EAB" w:rsidP="007A5040">
      <w:pPr>
        <w:pStyle w:val="Tekstpodstawowy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 xml:space="preserve">Pełen raport dostępny jest na </w:t>
      </w:r>
      <w:hyperlink r:id="rId14" w:history="1">
        <w:r w:rsidRPr="00B876AA">
          <w:rPr>
            <w:rStyle w:val="Hipercze"/>
            <w:color w:val="4F2D7F"/>
            <w:sz w:val="20"/>
            <w:lang w:val="pl-PL"/>
          </w:rPr>
          <w:t>www.GrantThornton.pl</w:t>
        </w:r>
      </w:hyperlink>
      <w:r>
        <w:rPr>
          <w:sz w:val="20"/>
          <w:lang w:val="pl-PL"/>
        </w:rPr>
        <w:t>.</w:t>
      </w:r>
    </w:p>
    <w:p w:rsidR="007A5040" w:rsidRDefault="007A5040" w:rsidP="007A5040">
      <w:pPr>
        <w:pStyle w:val="Tekstpodstawowy"/>
        <w:spacing w:line="360" w:lineRule="auto"/>
        <w:rPr>
          <w:sz w:val="20"/>
          <w:lang w:val="pl-PL"/>
        </w:rPr>
      </w:pPr>
    </w:p>
    <w:p w:rsidR="007A5040" w:rsidRPr="000C4938" w:rsidRDefault="007A5040" w:rsidP="007A5040">
      <w:pPr>
        <w:pStyle w:val="Tekstpodstawowy"/>
        <w:spacing w:line="360" w:lineRule="auto"/>
        <w:jc w:val="center"/>
        <w:rPr>
          <w:sz w:val="20"/>
          <w:lang w:val="pl-PL"/>
        </w:rPr>
      </w:pPr>
      <w:r>
        <w:rPr>
          <w:sz w:val="20"/>
          <w:lang w:val="pl-PL"/>
        </w:rPr>
        <w:t>- koniec -</w:t>
      </w:r>
    </w:p>
    <w:p w:rsidR="007A5040" w:rsidRPr="000C4938" w:rsidRDefault="007A5040" w:rsidP="007A5040">
      <w:pPr>
        <w:pStyle w:val="Nagwek2"/>
        <w:rPr>
          <w:lang w:val="pl-PL"/>
        </w:rPr>
      </w:pPr>
      <w:bookmarkStart w:id="0" w:name="_GoBack"/>
      <w:bookmarkEnd w:id="0"/>
    </w:p>
    <w:p w:rsidR="007A5040" w:rsidRPr="007A1BD1" w:rsidRDefault="007A5040" w:rsidP="007A5040">
      <w:pPr>
        <w:pStyle w:val="Nagwek2"/>
        <w:rPr>
          <w:color w:val="4F2D7F"/>
          <w:lang w:val="pl-PL"/>
        </w:rPr>
      </w:pPr>
      <w:r w:rsidRPr="007A1BD1">
        <w:rPr>
          <w:color w:val="4F2D7F"/>
          <w:lang w:val="pl-PL"/>
        </w:rPr>
        <w:t>Zachęcamy do kontaktu:</w:t>
      </w:r>
    </w:p>
    <w:p w:rsidR="007A5040" w:rsidRPr="000C4938" w:rsidRDefault="007A5040" w:rsidP="007A5040">
      <w:pPr>
        <w:pStyle w:val="Tekstpodstawowy"/>
        <w:rPr>
          <w:lang w:val="pl-PL"/>
        </w:rPr>
      </w:pPr>
      <w:r w:rsidRPr="000C4938">
        <w:rPr>
          <w:lang w:val="pl-PL"/>
        </w:rPr>
        <w:t>Jacek Kowalczyk</w:t>
      </w:r>
    </w:p>
    <w:p w:rsidR="007A5040" w:rsidRPr="004C5370" w:rsidRDefault="007A5040" w:rsidP="007A5040">
      <w:pPr>
        <w:pStyle w:val="Tekstpodstawowy"/>
        <w:rPr>
          <w:lang w:val="pl-PL"/>
        </w:rPr>
      </w:pPr>
      <w:r w:rsidRPr="004C5370">
        <w:rPr>
          <w:lang w:val="pl-PL"/>
        </w:rPr>
        <w:t>Dyrektor ds. Marketingu i PR</w:t>
      </w:r>
    </w:p>
    <w:p w:rsidR="007A5040" w:rsidRPr="004C5370" w:rsidRDefault="007A5040" w:rsidP="007A5040">
      <w:pPr>
        <w:pStyle w:val="Tekstpodstawowy"/>
        <w:rPr>
          <w:lang w:val="pl-PL"/>
        </w:rPr>
      </w:pPr>
      <w:r w:rsidRPr="004C5370">
        <w:rPr>
          <w:lang w:val="pl-PL"/>
        </w:rPr>
        <w:t>Grant Thornton</w:t>
      </w:r>
    </w:p>
    <w:p w:rsidR="007A5040" w:rsidRPr="004C5370" w:rsidRDefault="007A5040" w:rsidP="007A5040">
      <w:pPr>
        <w:pStyle w:val="Tekstpodstawowy"/>
        <w:rPr>
          <w:lang w:val="pl-PL"/>
        </w:rPr>
      </w:pPr>
      <w:r w:rsidRPr="004C5370">
        <w:rPr>
          <w:lang w:val="pl-PL"/>
        </w:rPr>
        <w:t>T 505 024 168, 22 205 48 41</w:t>
      </w:r>
    </w:p>
    <w:p w:rsidR="007A5040" w:rsidRPr="00586336" w:rsidRDefault="007A5040" w:rsidP="007A5040">
      <w:pPr>
        <w:pStyle w:val="Tekstpodstawowy"/>
        <w:rPr>
          <w:lang w:val="en-US"/>
        </w:rPr>
      </w:pPr>
      <w:r w:rsidRPr="004C5370">
        <w:rPr>
          <w:lang w:val="pl-PL"/>
        </w:rPr>
        <w:t xml:space="preserve">E </w:t>
      </w:r>
      <w:r w:rsidRPr="00586336">
        <w:rPr>
          <w:lang w:val="en-US"/>
        </w:rPr>
        <w:t>jacek.kowalczyk@pl.gt.com</w:t>
      </w:r>
    </w:p>
    <w:p w:rsidR="007A5040" w:rsidRPr="00586336" w:rsidRDefault="007A5040" w:rsidP="007A5040">
      <w:pPr>
        <w:pStyle w:val="Nagwek3"/>
        <w:rPr>
          <w:lang w:val="en-US"/>
        </w:rPr>
      </w:pPr>
    </w:p>
    <w:p w:rsidR="007A5040" w:rsidRPr="00911A06" w:rsidRDefault="007A5040" w:rsidP="007A5040">
      <w:pPr>
        <w:pStyle w:val="Nagwek4"/>
        <w:rPr>
          <w:b/>
          <w:lang w:val="en-US"/>
        </w:rPr>
      </w:pPr>
      <w:r w:rsidRPr="00911A06">
        <w:rPr>
          <w:b/>
          <w:lang w:val="en-US"/>
        </w:rPr>
        <w:t>O Grant Thornton</w:t>
      </w:r>
    </w:p>
    <w:p w:rsidR="007A5040" w:rsidRPr="000C4938" w:rsidRDefault="007A5040" w:rsidP="007A5040">
      <w:pPr>
        <w:pStyle w:val="Tekstpodstawowy"/>
        <w:rPr>
          <w:lang w:val="pl-PL"/>
        </w:rPr>
      </w:pPr>
      <w:r w:rsidRPr="000C4938">
        <w:rPr>
          <w:b/>
          <w:lang w:val="pl-PL"/>
        </w:rPr>
        <w:t>Grant Thornton</w:t>
      </w:r>
      <w:r w:rsidRPr="000C4938">
        <w:rPr>
          <w:lang w:val="pl-PL"/>
        </w:rPr>
        <w:t xml:space="preserve"> to jedna z wiodących organizacji audytorsko-doradczych na świecie. Wiedza, doświad</w:t>
      </w:r>
      <w:r>
        <w:rPr>
          <w:lang w:val="pl-PL"/>
        </w:rPr>
        <w:t>czenie</w:t>
      </w:r>
      <w:r>
        <w:rPr>
          <w:lang w:val="pl-PL"/>
        </w:rPr>
        <w:br/>
        <w:t xml:space="preserve"> i zaangażowan</w:t>
      </w:r>
      <w:r w:rsidR="00DB5FA3">
        <w:rPr>
          <w:lang w:val="pl-PL"/>
        </w:rPr>
        <w:t>ie ponad 3 000 partnerów oraz 50</w:t>
      </w:r>
      <w:r w:rsidRPr="000C4938">
        <w:rPr>
          <w:lang w:val="pl-PL"/>
        </w:rPr>
        <w:t xml:space="preserve"> 000 pracowników Grant Thornton dost</w:t>
      </w:r>
      <w:r w:rsidR="00DB5FA3">
        <w:rPr>
          <w:lang w:val="pl-PL"/>
        </w:rPr>
        <w:t>ępne są dla klientów w ponad 136</w:t>
      </w:r>
      <w:r w:rsidRPr="000C4938">
        <w:rPr>
          <w:lang w:val="pl-PL"/>
        </w:rPr>
        <w:t xml:space="preserve"> </w:t>
      </w:r>
      <w:r w:rsidR="00DB5FA3">
        <w:rPr>
          <w:lang w:val="pl-PL"/>
        </w:rPr>
        <w:t>krajach. W Polsce działamy od 25 lat, a 550</w:t>
      </w:r>
      <w:r w:rsidRPr="000C4938">
        <w:rPr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5" w:history="1">
        <w:r w:rsidRPr="000C4938">
          <w:rPr>
            <w:rStyle w:val="Hipercze"/>
            <w:lang w:val="pl-PL"/>
          </w:rPr>
          <w:t>www.grantthornton.pl</w:t>
        </w:r>
      </w:hyperlink>
      <w:r w:rsidRPr="000C4938">
        <w:rPr>
          <w:lang w:val="pl-PL"/>
        </w:rPr>
        <w:t xml:space="preserve"> </w:t>
      </w:r>
    </w:p>
    <w:p w:rsidR="007A5040" w:rsidRPr="000C4938" w:rsidRDefault="007A5040" w:rsidP="007A5040">
      <w:pPr>
        <w:pStyle w:val="Tekstpodstawowy"/>
        <w:rPr>
          <w:u w:val="single"/>
          <w:lang w:val="pl-PL"/>
        </w:rPr>
      </w:pPr>
      <w:r w:rsidRPr="000C4938">
        <w:rPr>
          <w:b/>
          <w:lang w:val="pl-PL"/>
        </w:rPr>
        <w:t>Grant Thornton International Ltd</w:t>
      </w:r>
      <w:r w:rsidRPr="000C4938">
        <w:rPr>
          <w:lang w:val="pl-PL"/>
        </w:rPr>
        <w:t xml:space="preserve">. (GTI) jest jedną z wiodących światowych organizacji, zrzeszającą firmy księgowe </w:t>
      </w:r>
      <w:r>
        <w:rPr>
          <w:lang w:val="pl-PL"/>
        </w:rPr>
        <w:br/>
      </w:r>
      <w:r w:rsidRPr="000C4938">
        <w:rPr>
          <w:lang w:val="pl-PL"/>
        </w:rPr>
        <w:t xml:space="preserve">i doradcze, oferujące usługi poświadczające, doradztwa podatkowego, a także udzielające specjalistycznych porad dla przedsiębiorców prywatnych i jednostek interesu publicznego. Więcej informacji na </w:t>
      </w:r>
      <w:hyperlink r:id="rId16" w:history="1">
        <w:r w:rsidRPr="000C4938">
          <w:rPr>
            <w:rStyle w:val="Hipercze"/>
            <w:lang w:val="pl-PL"/>
          </w:rPr>
          <w:t>www.gti.org</w:t>
        </w:r>
      </w:hyperlink>
    </w:p>
    <w:p w:rsidR="007A5040" w:rsidRPr="00AC2F10" w:rsidRDefault="007A5040" w:rsidP="007A5040">
      <w:pPr>
        <w:pStyle w:val="Tekstpodstawowy"/>
        <w:rPr>
          <w:lang w:val="pl-PL"/>
        </w:rPr>
      </w:pPr>
    </w:p>
    <w:p w:rsidR="00E50D26" w:rsidRPr="001A7C86" w:rsidRDefault="00E50D26" w:rsidP="001A7C86"/>
    <w:sectPr w:rsidR="00E50D26" w:rsidRPr="001A7C86" w:rsidSect="00E50D26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2269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B7" w:rsidRDefault="00E556B7">
      <w:r>
        <w:separator/>
      </w:r>
    </w:p>
  </w:endnote>
  <w:endnote w:type="continuationSeparator" w:id="0">
    <w:p w:rsidR="00E556B7" w:rsidRDefault="00E5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Pr="00C14BA6" w:rsidRDefault="00C14BA6" w:rsidP="00C14BA6">
    <w:pPr>
      <w:pStyle w:val="Stopka"/>
      <w:rPr>
        <w:b/>
      </w:rPr>
    </w:pPr>
  </w:p>
  <w:p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  <w:r w:rsidRPr="00C14BA6">
      <w:rPr>
        <w:rFonts w:cstheme="minorHAnsi"/>
        <w:color w:val="747678" w:themeColor="background2"/>
        <w:sz w:val="12"/>
        <w:szCs w:val="16"/>
        <w:lang w:val="pl-PL"/>
      </w:rPr>
      <w:t xml:space="preserve">© Grant Thornton. </w:t>
    </w:r>
    <w:r w:rsidRPr="00C14BA6">
      <w:rPr>
        <w:rFonts w:cstheme="minorHAnsi"/>
        <w:noProof/>
        <w:color w:val="747678" w:themeColor="background2"/>
        <w:sz w:val="12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5E7D709" wp14:editId="6A31584C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F8DC45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NAwbYy7AQAAXw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  <w:lang w:val="pl-PL"/>
      </w:rPr>
      <w:t>Wszystkie prawa zastrzeżone</w:t>
    </w:r>
  </w:p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 w:rsidP="00887334">
    <w:pPr>
      <w:pStyle w:val="Nagwek"/>
    </w:pPr>
  </w:p>
  <w:p w:rsidR="00C14BA6" w:rsidRPr="00C14BA6" w:rsidRDefault="00C14BA6" w:rsidP="0083039F">
    <w:pPr>
      <w:pStyle w:val="Stopka"/>
      <w:jc w:val="left"/>
      <w:rPr>
        <w:b/>
        <w:sz w:val="4"/>
      </w:rPr>
    </w:pPr>
    <w:r w:rsidRPr="00D96E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2EF53151" wp14:editId="0F71CC84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125" cy="0"/>
              <wp:effectExtent l="0" t="0" r="1587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DBE42" id="Straight Connector 2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BZKP567AQAAXg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proofErr w:type="spellStart"/>
    <w:r w:rsidRPr="007A5040">
      <w:rPr>
        <w:b/>
      </w:rPr>
      <w:t>Audyt</w:t>
    </w:r>
    <w:proofErr w:type="spellEnd"/>
    <w:r w:rsidRPr="00C14BA6">
      <w:rPr>
        <w:b/>
      </w:rPr>
      <w:t xml:space="preserve"> – </w:t>
    </w:r>
    <w:proofErr w:type="spellStart"/>
    <w:r w:rsidRPr="007A5040">
      <w:rPr>
        <w:b/>
      </w:rPr>
      <w:t>Podatki</w:t>
    </w:r>
    <w:proofErr w:type="spellEnd"/>
    <w:r w:rsidRPr="00C14BA6">
      <w:rPr>
        <w:b/>
      </w:rPr>
      <w:t xml:space="preserve"> – Outsourcing – </w:t>
    </w:r>
    <w:r w:rsidRPr="007A5040">
      <w:rPr>
        <w:b/>
      </w:rPr>
      <w:t>Doradztwo</w:t>
    </w:r>
  </w:p>
  <w:p w:rsidR="00C14BA6" w:rsidRPr="001A7C86" w:rsidRDefault="00C14BA6" w:rsidP="00A41E8A">
    <w:pPr>
      <w:pStyle w:val="Stopka"/>
      <w:jc w:val="left"/>
    </w:pPr>
    <w:r w:rsidRPr="001A7C86">
      <w:t>Member of Grant Thornton International Ltd</w:t>
    </w:r>
  </w:p>
  <w:p w:rsidR="00C14BA6" w:rsidRPr="00C14BA6" w:rsidRDefault="00C14BA6" w:rsidP="0083039F">
    <w:pPr>
      <w:pStyle w:val="LetterFooter"/>
      <w:rPr>
        <w:rFonts w:asciiTheme="minorHAnsi" w:hAnsiTheme="minorHAnsi" w:cstheme="minorHAnsi"/>
      </w:rPr>
    </w:pPr>
  </w:p>
  <w:p w:rsidR="00C14BA6" w:rsidRPr="00A41E8A" w:rsidRDefault="00C14BA6" w:rsidP="0083039F">
    <w:pPr>
      <w:pStyle w:val="Stopka"/>
      <w:jc w:val="left"/>
      <w:rPr>
        <w:b/>
        <w:lang w:val="pl-PL"/>
      </w:rPr>
    </w:pPr>
    <w:r w:rsidRPr="00A41E8A">
      <w:rPr>
        <w:b/>
        <w:lang w:val="pl-PL"/>
      </w:rPr>
      <w:t xml:space="preserve">Grant Thornton Frąckowiak spółka z ograniczoną odpowiedzialnością sp. k. </w:t>
    </w:r>
    <w:r w:rsidR="002F0C85">
      <w:rPr>
        <w:b/>
        <w:lang w:val="pl-PL"/>
      </w:rPr>
      <w:t>firma audytorska</w:t>
    </w:r>
    <w:r w:rsidRPr="00A41E8A">
      <w:rPr>
        <w:b/>
        <w:lang w:val="pl-PL"/>
      </w:rPr>
      <w:t xml:space="preserve"> nr 3654. </w:t>
    </w:r>
    <w:r w:rsidRPr="00A41E8A">
      <w:rPr>
        <w:b/>
        <w:lang w:val="pl-PL"/>
      </w:rPr>
      <w:br/>
      <w:t xml:space="preserve">Komplementariusz: Grant Thornton Frąckowiak sp. z o.o. Zarząd komplementariusza: </w:t>
    </w:r>
    <w:r w:rsidR="00887334">
      <w:rPr>
        <w:b/>
        <w:lang w:val="pl-PL"/>
      </w:rPr>
      <w:t>Tomasz Wróblewski</w:t>
    </w:r>
    <w:r w:rsidRPr="00A41E8A">
      <w:rPr>
        <w:b/>
        <w:lang w:val="pl-PL"/>
      </w:rPr>
      <w:t xml:space="preserve"> – Prezes Zarządu, </w:t>
    </w:r>
    <w:r w:rsidR="00B904FE">
      <w:rPr>
        <w:b/>
        <w:lang w:val="pl-PL"/>
      </w:rPr>
      <w:t>Dariusz Be</w:t>
    </w:r>
    <w:r w:rsidR="00887334">
      <w:rPr>
        <w:b/>
        <w:lang w:val="pl-PL"/>
      </w:rPr>
      <w:t>d</w:t>
    </w:r>
    <w:r w:rsidR="00B904FE">
      <w:rPr>
        <w:b/>
        <w:lang w:val="pl-PL"/>
      </w:rPr>
      <w:t>n</w:t>
    </w:r>
    <w:r w:rsidR="00887334">
      <w:rPr>
        <w:b/>
        <w:lang w:val="pl-PL"/>
      </w:rPr>
      <w:t xml:space="preserve">arski </w:t>
    </w:r>
    <w:r w:rsidR="00B904FE">
      <w:rPr>
        <w:b/>
        <w:lang w:val="pl-PL"/>
      </w:rPr>
      <w:t xml:space="preserve"> – Wiceprezes Zarządu, </w:t>
    </w:r>
    <w:r w:rsidR="00E67B14">
      <w:rPr>
        <w:b/>
        <w:lang w:val="pl-PL"/>
      </w:rPr>
      <w:br/>
    </w:r>
    <w:r w:rsidR="00B904FE">
      <w:rPr>
        <w:b/>
        <w:lang w:val="pl-PL"/>
      </w:rPr>
      <w:t xml:space="preserve">Jan Letkiewicz </w:t>
    </w:r>
    <w:r w:rsidR="00B904FE" w:rsidRPr="00A41E8A">
      <w:rPr>
        <w:b/>
        <w:lang w:val="pl-PL"/>
      </w:rPr>
      <w:t xml:space="preserve"> – Wiceprezes Zarządu. </w:t>
    </w:r>
    <w:r w:rsidRPr="00A41E8A">
      <w:rPr>
        <w:b/>
        <w:lang w:val="pl-PL"/>
      </w:rPr>
      <w:t xml:space="preserve"> </w:t>
    </w:r>
    <w:r w:rsidRPr="00A41E8A">
      <w:rPr>
        <w:b/>
        <w:lang w:val="pl-PL"/>
      </w:rPr>
      <w:br/>
      <w:t xml:space="preserve">Adres siedziby: 61-131 Poznań, ul. Abpa Antoniego Baraniaka 88 E. NIP: 778-14-76-013, REGON: 301591100. Rachunek bankowy: </w:t>
    </w:r>
    <w:r w:rsidR="005663FE" w:rsidRPr="005663FE">
      <w:rPr>
        <w:b/>
        <w:lang w:val="pl-PL"/>
      </w:rPr>
      <w:t>05 1090 1359 0000 0001 1915 7406</w:t>
    </w:r>
    <w:r w:rsidRPr="00A41E8A">
      <w:rPr>
        <w:b/>
        <w:lang w:val="pl-PL"/>
      </w:rPr>
      <w:t xml:space="preserve">. </w:t>
    </w:r>
    <w:r w:rsidRPr="00A41E8A">
      <w:rPr>
        <w:b/>
        <w:lang w:val="pl-PL"/>
      </w:rPr>
      <w:br/>
      <w:t>Sąd Rejonowy Poznań – Nowe Miasto i Wilda w Poznaniu, VIII Wydział Gospodarczy, nr KRS 0000369868.</w:t>
    </w:r>
  </w:p>
  <w:p w:rsidR="00C14BA6" w:rsidRPr="007A5040" w:rsidRDefault="00C14BA6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B7" w:rsidRDefault="00E556B7">
      <w:r>
        <w:separator/>
      </w:r>
    </w:p>
  </w:footnote>
  <w:footnote w:type="continuationSeparator" w:id="0">
    <w:p w:rsidR="00E556B7" w:rsidRDefault="00E5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bookmarkStart w:id="1" w:name="Cover_tbl"/>
    <w:r>
      <w:rPr>
        <w:noProof/>
        <w:lang w:val="pl-PL" w:eastAsia="pl-PL"/>
      </w:rPr>
      <w:drawing>
        <wp:inline distT="0" distB="0" distL="0" distR="0" wp14:anchorId="5DBEA7F3" wp14:editId="763E0F8F">
          <wp:extent cx="2036068" cy="627889"/>
          <wp:effectExtent l="0" t="0" r="2540" b="1270"/>
          <wp:docPr id="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r>
      <w:rPr>
        <w:noProof/>
        <w:lang w:val="pl-PL" w:eastAsia="pl-PL"/>
      </w:rPr>
      <w:drawing>
        <wp:inline distT="0" distB="0" distL="0" distR="0" wp14:anchorId="02154842" wp14:editId="0581CDFE">
          <wp:extent cx="2036068" cy="627889"/>
          <wp:effectExtent l="0" t="0" r="2540" b="1270"/>
          <wp:docPr id="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BA976CF"/>
    <w:multiLevelType w:val="multilevel"/>
    <w:tmpl w:val="98FC98AC"/>
    <w:numStyleLink w:val="GTListNumber"/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CE6E0156"/>
    <w:numStyleLink w:val="GTListBullet"/>
  </w:abstractNum>
  <w:abstractNum w:abstractNumId="13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7A5040"/>
    <w:rsid w:val="00013749"/>
    <w:rsid w:val="0001412C"/>
    <w:rsid w:val="00047137"/>
    <w:rsid w:val="00050414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B58A3"/>
    <w:rsid w:val="000D61DD"/>
    <w:rsid w:val="000D7C10"/>
    <w:rsid w:val="000E4C3C"/>
    <w:rsid w:val="00104641"/>
    <w:rsid w:val="00117E13"/>
    <w:rsid w:val="001327E5"/>
    <w:rsid w:val="001347BC"/>
    <w:rsid w:val="001366D0"/>
    <w:rsid w:val="00143EB2"/>
    <w:rsid w:val="00151C5A"/>
    <w:rsid w:val="001558F7"/>
    <w:rsid w:val="0015731C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6783"/>
    <w:rsid w:val="001D0B50"/>
    <w:rsid w:val="001D0FE0"/>
    <w:rsid w:val="001D5D48"/>
    <w:rsid w:val="001E7FFB"/>
    <w:rsid w:val="001F10E0"/>
    <w:rsid w:val="001F1AF0"/>
    <w:rsid w:val="001F60FC"/>
    <w:rsid w:val="00205F8C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73DB9"/>
    <w:rsid w:val="002A2C91"/>
    <w:rsid w:val="002D2DC5"/>
    <w:rsid w:val="002E2B91"/>
    <w:rsid w:val="002F0C85"/>
    <w:rsid w:val="002F0D72"/>
    <w:rsid w:val="002F1925"/>
    <w:rsid w:val="002F2027"/>
    <w:rsid w:val="003004FA"/>
    <w:rsid w:val="00300833"/>
    <w:rsid w:val="0030218D"/>
    <w:rsid w:val="003151A5"/>
    <w:rsid w:val="003462D8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B35B1"/>
    <w:rsid w:val="003B550A"/>
    <w:rsid w:val="003B5657"/>
    <w:rsid w:val="003C13F1"/>
    <w:rsid w:val="003D6ABF"/>
    <w:rsid w:val="00400DFB"/>
    <w:rsid w:val="00401CB2"/>
    <w:rsid w:val="00407FBE"/>
    <w:rsid w:val="00415BFD"/>
    <w:rsid w:val="00425244"/>
    <w:rsid w:val="0043260D"/>
    <w:rsid w:val="00435EA1"/>
    <w:rsid w:val="00441D97"/>
    <w:rsid w:val="00462B97"/>
    <w:rsid w:val="00471150"/>
    <w:rsid w:val="00476FEE"/>
    <w:rsid w:val="00481636"/>
    <w:rsid w:val="00481F79"/>
    <w:rsid w:val="004939BE"/>
    <w:rsid w:val="004952F5"/>
    <w:rsid w:val="004A652A"/>
    <w:rsid w:val="004A7137"/>
    <w:rsid w:val="004B6086"/>
    <w:rsid w:val="004C10AD"/>
    <w:rsid w:val="004C1FE9"/>
    <w:rsid w:val="004C5370"/>
    <w:rsid w:val="004D1EB2"/>
    <w:rsid w:val="004D5F86"/>
    <w:rsid w:val="004E3A82"/>
    <w:rsid w:val="004E5F46"/>
    <w:rsid w:val="004F6078"/>
    <w:rsid w:val="00502087"/>
    <w:rsid w:val="00502217"/>
    <w:rsid w:val="0050322F"/>
    <w:rsid w:val="00513853"/>
    <w:rsid w:val="0051765E"/>
    <w:rsid w:val="00520717"/>
    <w:rsid w:val="0052705B"/>
    <w:rsid w:val="00543A03"/>
    <w:rsid w:val="00553170"/>
    <w:rsid w:val="005663FE"/>
    <w:rsid w:val="00576254"/>
    <w:rsid w:val="005773A1"/>
    <w:rsid w:val="005779DF"/>
    <w:rsid w:val="00585D4B"/>
    <w:rsid w:val="005A066F"/>
    <w:rsid w:val="005B1EAB"/>
    <w:rsid w:val="005B65D4"/>
    <w:rsid w:val="005B7A11"/>
    <w:rsid w:val="005C1C5A"/>
    <w:rsid w:val="005C23C4"/>
    <w:rsid w:val="005C2C73"/>
    <w:rsid w:val="005C6CDE"/>
    <w:rsid w:val="005D2417"/>
    <w:rsid w:val="005E25CB"/>
    <w:rsid w:val="005E6FCA"/>
    <w:rsid w:val="005F7C6B"/>
    <w:rsid w:val="00617718"/>
    <w:rsid w:val="006311B1"/>
    <w:rsid w:val="00634500"/>
    <w:rsid w:val="0064317C"/>
    <w:rsid w:val="00643F48"/>
    <w:rsid w:val="0065033C"/>
    <w:rsid w:val="006667B7"/>
    <w:rsid w:val="006703C3"/>
    <w:rsid w:val="006805D5"/>
    <w:rsid w:val="006806FD"/>
    <w:rsid w:val="006909F2"/>
    <w:rsid w:val="00695694"/>
    <w:rsid w:val="006C286D"/>
    <w:rsid w:val="006C3454"/>
    <w:rsid w:val="006D4904"/>
    <w:rsid w:val="006D70B5"/>
    <w:rsid w:val="006E3473"/>
    <w:rsid w:val="006E7DF0"/>
    <w:rsid w:val="006F6F69"/>
    <w:rsid w:val="00714D8F"/>
    <w:rsid w:val="00715888"/>
    <w:rsid w:val="007170B2"/>
    <w:rsid w:val="0073335B"/>
    <w:rsid w:val="00733C42"/>
    <w:rsid w:val="00743216"/>
    <w:rsid w:val="007501AA"/>
    <w:rsid w:val="00757103"/>
    <w:rsid w:val="007639D8"/>
    <w:rsid w:val="00775A42"/>
    <w:rsid w:val="00776338"/>
    <w:rsid w:val="00786789"/>
    <w:rsid w:val="007A3144"/>
    <w:rsid w:val="007A5040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55CCD"/>
    <w:rsid w:val="008645CA"/>
    <w:rsid w:val="008645E8"/>
    <w:rsid w:val="008762B2"/>
    <w:rsid w:val="008830CE"/>
    <w:rsid w:val="00887334"/>
    <w:rsid w:val="0089338D"/>
    <w:rsid w:val="00893520"/>
    <w:rsid w:val="00893B08"/>
    <w:rsid w:val="00895CF7"/>
    <w:rsid w:val="008A1CD0"/>
    <w:rsid w:val="008A5EEE"/>
    <w:rsid w:val="008B2749"/>
    <w:rsid w:val="008C4D0D"/>
    <w:rsid w:val="008D3A88"/>
    <w:rsid w:val="008E3B80"/>
    <w:rsid w:val="00907933"/>
    <w:rsid w:val="00911A06"/>
    <w:rsid w:val="0091271F"/>
    <w:rsid w:val="00921B25"/>
    <w:rsid w:val="00923A87"/>
    <w:rsid w:val="00924017"/>
    <w:rsid w:val="0093057B"/>
    <w:rsid w:val="009374BB"/>
    <w:rsid w:val="009433FC"/>
    <w:rsid w:val="009442B2"/>
    <w:rsid w:val="00947FA4"/>
    <w:rsid w:val="00952FCA"/>
    <w:rsid w:val="00956405"/>
    <w:rsid w:val="009623AD"/>
    <w:rsid w:val="00966490"/>
    <w:rsid w:val="009826CB"/>
    <w:rsid w:val="00990285"/>
    <w:rsid w:val="00994A39"/>
    <w:rsid w:val="00994ECE"/>
    <w:rsid w:val="009A0405"/>
    <w:rsid w:val="009A5CCB"/>
    <w:rsid w:val="009A722E"/>
    <w:rsid w:val="009B7E3F"/>
    <w:rsid w:val="009C3FA4"/>
    <w:rsid w:val="009E4D5C"/>
    <w:rsid w:val="009E53E7"/>
    <w:rsid w:val="009E6A78"/>
    <w:rsid w:val="009F5EF5"/>
    <w:rsid w:val="009F7EC2"/>
    <w:rsid w:val="00A06C3B"/>
    <w:rsid w:val="00A17DF9"/>
    <w:rsid w:val="00A41E8A"/>
    <w:rsid w:val="00A4316A"/>
    <w:rsid w:val="00A45B6F"/>
    <w:rsid w:val="00A47200"/>
    <w:rsid w:val="00A51555"/>
    <w:rsid w:val="00A53C7B"/>
    <w:rsid w:val="00A54401"/>
    <w:rsid w:val="00A73FF9"/>
    <w:rsid w:val="00A746F6"/>
    <w:rsid w:val="00A8074C"/>
    <w:rsid w:val="00A96D05"/>
    <w:rsid w:val="00AA3C3B"/>
    <w:rsid w:val="00AD076E"/>
    <w:rsid w:val="00AD07B3"/>
    <w:rsid w:val="00AD46BC"/>
    <w:rsid w:val="00AD47ED"/>
    <w:rsid w:val="00AE4B96"/>
    <w:rsid w:val="00AF220D"/>
    <w:rsid w:val="00AF2F43"/>
    <w:rsid w:val="00B04BC4"/>
    <w:rsid w:val="00B1118C"/>
    <w:rsid w:val="00B3098B"/>
    <w:rsid w:val="00B30B06"/>
    <w:rsid w:val="00B32719"/>
    <w:rsid w:val="00B51315"/>
    <w:rsid w:val="00B57ADB"/>
    <w:rsid w:val="00B65C7F"/>
    <w:rsid w:val="00B72023"/>
    <w:rsid w:val="00B7721E"/>
    <w:rsid w:val="00B828CE"/>
    <w:rsid w:val="00B8501D"/>
    <w:rsid w:val="00B86408"/>
    <w:rsid w:val="00B876AA"/>
    <w:rsid w:val="00B904FE"/>
    <w:rsid w:val="00B93D83"/>
    <w:rsid w:val="00B95C52"/>
    <w:rsid w:val="00B975A1"/>
    <w:rsid w:val="00BB4622"/>
    <w:rsid w:val="00BB5787"/>
    <w:rsid w:val="00BD4D0B"/>
    <w:rsid w:val="00BE06BE"/>
    <w:rsid w:val="00BE2AF3"/>
    <w:rsid w:val="00BE7717"/>
    <w:rsid w:val="00BF5AC3"/>
    <w:rsid w:val="00C1089A"/>
    <w:rsid w:val="00C13A94"/>
    <w:rsid w:val="00C14BA6"/>
    <w:rsid w:val="00C15857"/>
    <w:rsid w:val="00C31F78"/>
    <w:rsid w:val="00C34649"/>
    <w:rsid w:val="00C347C2"/>
    <w:rsid w:val="00C40A43"/>
    <w:rsid w:val="00C42A61"/>
    <w:rsid w:val="00C4637C"/>
    <w:rsid w:val="00C476A1"/>
    <w:rsid w:val="00C655EE"/>
    <w:rsid w:val="00C70BCF"/>
    <w:rsid w:val="00C7575E"/>
    <w:rsid w:val="00C757E6"/>
    <w:rsid w:val="00C77D03"/>
    <w:rsid w:val="00C80390"/>
    <w:rsid w:val="00C9044B"/>
    <w:rsid w:val="00C94ED7"/>
    <w:rsid w:val="00CA7B49"/>
    <w:rsid w:val="00CB29C3"/>
    <w:rsid w:val="00CB3FF7"/>
    <w:rsid w:val="00CB6C00"/>
    <w:rsid w:val="00CC2C31"/>
    <w:rsid w:val="00CD0668"/>
    <w:rsid w:val="00CD0945"/>
    <w:rsid w:val="00CD1174"/>
    <w:rsid w:val="00CD2293"/>
    <w:rsid w:val="00CD2462"/>
    <w:rsid w:val="00CD4E39"/>
    <w:rsid w:val="00CD55D0"/>
    <w:rsid w:val="00CD7DC9"/>
    <w:rsid w:val="00CE58E1"/>
    <w:rsid w:val="00CF2550"/>
    <w:rsid w:val="00CF3180"/>
    <w:rsid w:val="00CF4BA0"/>
    <w:rsid w:val="00D03287"/>
    <w:rsid w:val="00D21A0E"/>
    <w:rsid w:val="00D25646"/>
    <w:rsid w:val="00D276A2"/>
    <w:rsid w:val="00D40003"/>
    <w:rsid w:val="00D47D0B"/>
    <w:rsid w:val="00D53953"/>
    <w:rsid w:val="00D61AD0"/>
    <w:rsid w:val="00D63DA3"/>
    <w:rsid w:val="00D64E0E"/>
    <w:rsid w:val="00D65105"/>
    <w:rsid w:val="00D7394A"/>
    <w:rsid w:val="00D91835"/>
    <w:rsid w:val="00D93691"/>
    <w:rsid w:val="00D9608F"/>
    <w:rsid w:val="00DB5FA3"/>
    <w:rsid w:val="00DD1D27"/>
    <w:rsid w:val="00DD1DB7"/>
    <w:rsid w:val="00DE0967"/>
    <w:rsid w:val="00DE4E2E"/>
    <w:rsid w:val="00DE6FA4"/>
    <w:rsid w:val="00DF0D56"/>
    <w:rsid w:val="00DF6F8B"/>
    <w:rsid w:val="00DF7158"/>
    <w:rsid w:val="00E14093"/>
    <w:rsid w:val="00E23FAF"/>
    <w:rsid w:val="00E27915"/>
    <w:rsid w:val="00E30934"/>
    <w:rsid w:val="00E50D26"/>
    <w:rsid w:val="00E54014"/>
    <w:rsid w:val="00E547B4"/>
    <w:rsid w:val="00E556B7"/>
    <w:rsid w:val="00E67B14"/>
    <w:rsid w:val="00E74E1F"/>
    <w:rsid w:val="00E80CAC"/>
    <w:rsid w:val="00E9189D"/>
    <w:rsid w:val="00E95DDB"/>
    <w:rsid w:val="00EA0AD9"/>
    <w:rsid w:val="00EA515C"/>
    <w:rsid w:val="00EA6719"/>
    <w:rsid w:val="00EB4DDA"/>
    <w:rsid w:val="00EB57D0"/>
    <w:rsid w:val="00EB640F"/>
    <w:rsid w:val="00EC470D"/>
    <w:rsid w:val="00ED6EFF"/>
    <w:rsid w:val="00EF265F"/>
    <w:rsid w:val="00F02456"/>
    <w:rsid w:val="00F10E4E"/>
    <w:rsid w:val="00F118AB"/>
    <w:rsid w:val="00F14981"/>
    <w:rsid w:val="00F340C4"/>
    <w:rsid w:val="00F469D3"/>
    <w:rsid w:val="00F567A9"/>
    <w:rsid w:val="00F57864"/>
    <w:rsid w:val="00F62BF3"/>
    <w:rsid w:val="00F65A78"/>
    <w:rsid w:val="00F707A6"/>
    <w:rsid w:val="00F721CC"/>
    <w:rsid w:val="00F77E6C"/>
    <w:rsid w:val="00F81766"/>
    <w:rsid w:val="00F82369"/>
    <w:rsid w:val="00F8639A"/>
    <w:rsid w:val="00F959A7"/>
    <w:rsid w:val="00FA0071"/>
    <w:rsid w:val="00FA0F35"/>
    <w:rsid w:val="00FB0930"/>
    <w:rsid w:val="00FC1E0B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F9BFB"/>
  <w15:docId w15:val="{61AB0280-AFD8-4CB9-8EB7-E0AD0A1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A50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customStyle="1" w:styleId="PRTitle">
    <w:name w:val="PR Title"/>
    <w:basedOn w:val="Tytu"/>
    <w:next w:val="Tekstpodstawowy"/>
    <w:qFormat/>
    <w:rsid w:val="007A5040"/>
    <w:rPr>
      <w:lang w:val="en-GB"/>
    </w:rPr>
  </w:style>
  <w:style w:type="character" w:customStyle="1" w:styleId="Nagwek3Znak">
    <w:name w:val="Nagłówek 3 Znak"/>
    <w:basedOn w:val="Domylnaczcionkaakapitu"/>
    <w:link w:val="Nagwek3"/>
    <w:rsid w:val="007A5040"/>
    <w:rPr>
      <w:rFonts w:asciiTheme="minorHAnsi" w:hAnsiTheme="minorHAnsi" w:cstheme="minorHAnsi"/>
      <w:b/>
      <w:bCs/>
      <w:color w:val="4F2D7F" w:themeColor="accent1"/>
      <w:kern w:val="32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t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rantthornton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antThornton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8BEA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BD73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91-4B6C-9ACD-0EED222BA2E7}"/>
              </c:ext>
            </c:extLst>
          </c:dPt>
          <c:dPt>
            <c:idx val="1"/>
            <c:invertIfNegative val="0"/>
            <c:bubble3D val="0"/>
            <c:spPr>
              <a:solidFill>
                <a:srgbClr val="E9284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391-4B6C-9ACD-0EED222BA2E7}"/>
              </c:ext>
            </c:extLst>
          </c:dPt>
          <c:dPt>
            <c:idx val="16"/>
            <c:invertIfNegative val="0"/>
            <c:bubble3D val="0"/>
            <c:spPr>
              <a:solidFill>
                <a:srgbClr val="4F2D7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91-4B6C-9ACD-0EED222BA2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T Walsheim Pro Light" panose="02000503040000020003" pitchFamily="2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Arkusz1!$A$101:$A$117</c:f>
              <c:strCache>
                <c:ptCount val="17"/>
                <c:pt idx="0">
                  <c:v>RAZEM</c:v>
                </c:pt>
                <c:pt idx="1">
                  <c:v>Pomorskie</c:v>
                </c:pt>
                <c:pt idx="2">
                  <c:v>Podkarpackie</c:v>
                </c:pt>
                <c:pt idx="3">
                  <c:v>Podlaskie</c:v>
                </c:pt>
                <c:pt idx="4">
                  <c:v>Zachodniop.</c:v>
                </c:pt>
                <c:pt idx="5">
                  <c:v>Kuj.-pom.</c:v>
                </c:pt>
                <c:pt idx="6">
                  <c:v>War.-maz.</c:v>
                </c:pt>
                <c:pt idx="7">
                  <c:v>Łódzkie</c:v>
                </c:pt>
                <c:pt idx="8">
                  <c:v>Lubuskie</c:v>
                </c:pt>
                <c:pt idx="9">
                  <c:v>Mazowieckie</c:v>
                </c:pt>
                <c:pt idx="10">
                  <c:v>Opolskie</c:v>
                </c:pt>
                <c:pt idx="11">
                  <c:v>Wielkopolskie</c:v>
                </c:pt>
                <c:pt idx="12">
                  <c:v>Śląskie</c:v>
                </c:pt>
                <c:pt idx="13">
                  <c:v>Lubelskie</c:v>
                </c:pt>
                <c:pt idx="14">
                  <c:v>Dolnośląskie</c:v>
                </c:pt>
                <c:pt idx="15">
                  <c:v>Świętokrzyskie</c:v>
                </c:pt>
                <c:pt idx="16">
                  <c:v>Małopolskie</c:v>
                </c:pt>
              </c:strCache>
            </c:strRef>
          </c:cat>
          <c:val>
            <c:numRef>
              <c:f>Arkusz1!$B$101:$B$117</c:f>
              <c:numCache>
                <c:formatCode>0.0</c:formatCode>
                <c:ptCount val="17"/>
                <c:pt idx="0">
                  <c:v>39.426957223567392</c:v>
                </c:pt>
                <c:pt idx="1">
                  <c:v>8.1300813008130071</c:v>
                </c:pt>
                <c:pt idx="2">
                  <c:v>10</c:v>
                </c:pt>
                <c:pt idx="3">
                  <c:v>10.16949152542373</c:v>
                </c:pt>
                <c:pt idx="4">
                  <c:v>13.157894736842104</c:v>
                </c:pt>
                <c:pt idx="5">
                  <c:v>18.055555555555554</c:v>
                </c:pt>
                <c:pt idx="6">
                  <c:v>20.689655172413794</c:v>
                </c:pt>
                <c:pt idx="7">
                  <c:v>24.293785310734464</c:v>
                </c:pt>
                <c:pt idx="8">
                  <c:v>39.024390243902438</c:v>
                </c:pt>
                <c:pt idx="9">
                  <c:v>39.171974522292999</c:v>
                </c:pt>
                <c:pt idx="10">
                  <c:v>40.845070422535215</c:v>
                </c:pt>
                <c:pt idx="11">
                  <c:v>47.787610619469028</c:v>
                </c:pt>
                <c:pt idx="12">
                  <c:v>50.299401197604787</c:v>
                </c:pt>
                <c:pt idx="13">
                  <c:v>60.563380281690137</c:v>
                </c:pt>
                <c:pt idx="14">
                  <c:v>68.639053254437869</c:v>
                </c:pt>
                <c:pt idx="15">
                  <c:v>73.529411764705884</c:v>
                </c:pt>
                <c:pt idx="16">
                  <c:v>74.175824175824175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91-4B6C-9ACD-0EED222BA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4629632"/>
        <c:axId val="174631168"/>
      </c:barChart>
      <c:catAx>
        <c:axId val="174629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+mn-cs"/>
              </a:defRPr>
            </a:pPr>
            <a:endParaRPr lang="pl-PL"/>
          </a:p>
        </c:txPr>
        <c:crossAx val="174631168"/>
        <c:crosses val="autoZero"/>
        <c:auto val="1"/>
        <c:lblAlgn val="ctr"/>
        <c:lblOffset val="100"/>
        <c:noMultiLvlLbl val="0"/>
      </c:catAx>
      <c:valAx>
        <c:axId val="174631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+mn-cs"/>
              </a:defRPr>
            </a:pPr>
            <a:endParaRPr lang="pl-PL"/>
          </a:p>
        </c:txPr>
        <c:crossAx val="17462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baseline="0">
          <a:latin typeface="GT Walsheim Pro Light" panose="02000503040000020003" pitchFamily="2" charset="-18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Custom 8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A7B5"/>
    </a:accent1>
    <a:accent2>
      <a:srgbClr val="E92841"/>
    </a:accent2>
    <a:accent3>
      <a:srgbClr val="9BD732"/>
    </a:accent3>
    <a:accent4>
      <a:srgbClr val="4F2D7F"/>
    </a:accent4>
    <a:accent5>
      <a:srgbClr val="FF7D1E"/>
    </a:accent5>
    <a:accent6>
      <a:srgbClr val="C8BEAF"/>
    </a:accent6>
    <a:hlink>
      <a:srgbClr val="000000"/>
    </a:hlink>
    <a:folHlink>
      <a:srgbClr val="000000"/>
    </a:folHlink>
  </a:clrScheme>
  <a:fontScheme name="Office Classic 2">
    <a:majorFont>
      <a:latin typeface="Arial"/>
      <a:ea typeface=""/>
      <a:cs typeface=""/>
      <a:font script="Jpan" typeface="ＭＳ Ｐゴシック"/>
      <a:font script="Hang" typeface="돋움"/>
      <a:font script="Hans" typeface="华文新魏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돋움"/>
      <a:font script="Hans" typeface="华文新魏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6FDC5F-7839-4A20-920F-6CC7D56A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4310</Characters>
  <Application>Microsoft Office Word</Application>
  <DocSecurity>0</DocSecurity>
  <Lines>86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Drygas Piotr</dc:creator>
  <cp:lastModifiedBy>Kowalczyk Jacek</cp:lastModifiedBy>
  <cp:revision>2</cp:revision>
  <cp:lastPrinted>2007-08-23T16:47:00Z</cp:lastPrinted>
  <dcterms:created xsi:type="dcterms:W3CDTF">2018-03-26T12:20:00Z</dcterms:created>
  <dcterms:modified xsi:type="dcterms:W3CDTF">2018-03-26T12:20:00Z</dcterms:modified>
</cp:coreProperties>
</file>