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40" w:rsidRPr="00A93F45" w:rsidRDefault="007A44D1" w:rsidP="007A5040">
      <w:pPr>
        <w:pStyle w:val="Tekstpodstawowy"/>
        <w:rPr>
          <w:lang w:val="pl-PL"/>
        </w:rPr>
      </w:pPr>
      <w:r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>Polskie f</w:t>
      </w:r>
      <w:r w:rsidR="00F8316C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>irmy zapowiadają podwyżki cen</w:t>
      </w:r>
    </w:p>
    <w:p w:rsidR="007A5040" w:rsidRPr="00060EC9" w:rsidRDefault="007A5040" w:rsidP="007A5040">
      <w:pPr>
        <w:spacing w:before="100" w:beforeAutospacing="1" w:after="100" w:afterAutospacing="1" w:line="360" w:lineRule="auto"/>
        <w:rPr>
          <w:rFonts w:ascii="Arial" w:hAnsi="Arial"/>
          <w:b/>
          <w:color w:val="00B5A7"/>
          <w:lang w:val="pl-PL"/>
        </w:rPr>
      </w:pPr>
      <w:r w:rsidRPr="00060EC9">
        <w:rPr>
          <w:rFonts w:ascii="Arial" w:hAnsi="Arial"/>
          <w:b/>
          <w:color w:val="00B5A7"/>
          <w:lang w:val="pl-PL"/>
        </w:rPr>
        <w:t>Informacja prasowa</w:t>
      </w:r>
    </w:p>
    <w:p w:rsidR="007A5040" w:rsidRPr="00A93F45" w:rsidRDefault="007A44D1" w:rsidP="007A5040">
      <w:pPr>
        <w:spacing w:before="100" w:beforeAutospacing="1" w:after="100" w:afterAutospacing="1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5 kwietnia</w:t>
      </w:r>
      <w:r w:rsidR="007A5040">
        <w:rPr>
          <w:rFonts w:ascii="Arial" w:hAnsi="Arial"/>
          <w:lang w:val="pl-PL"/>
        </w:rPr>
        <w:t xml:space="preserve"> </w:t>
      </w:r>
      <w:r w:rsidR="00743216">
        <w:rPr>
          <w:rFonts w:ascii="Arial" w:hAnsi="Arial"/>
          <w:lang w:val="pl-PL"/>
        </w:rPr>
        <w:t>2018</w:t>
      </w:r>
      <w:r w:rsidR="007A5040" w:rsidRPr="00912BF4">
        <w:rPr>
          <w:rFonts w:ascii="Arial" w:hAnsi="Arial"/>
          <w:lang w:val="pl-PL"/>
        </w:rPr>
        <w:t xml:space="preserve"> r.</w:t>
      </w:r>
    </w:p>
    <w:p w:rsidR="00C80390" w:rsidRDefault="00C80390" w:rsidP="007A5040">
      <w:pPr>
        <w:pStyle w:val="Nagwek1"/>
        <w:rPr>
          <w:lang w:val="pl-PL"/>
        </w:rPr>
      </w:pPr>
    </w:p>
    <w:p w:rsidR="007A5040" w:rsidRPr="00A93F45" w:rsidRDefault="007A44D1" w:rsidP="007A5040">
      <w:pPr>
        <w:pStyle w:val="Nagwek1"/>
        <w:rPr>
          <w:lang w:val="pl-PL"/>
        </w:rPr>
      </w:pPr>
      <w:r>
        <w:rPr>
          <w:lang w:val="pl-PL"/>
        </w:rPr>
        <w:t>Narasta presja inflacyjna w polskiej gospodarce. Coraz więcej firm poważnie rozważa zwiększenie cen za swoje produkty – wynika z badania</w:t>
      </w:r>
      <w:r w:rsidR="00F8316C">
        <w:rPr>
          <w:lang w:val="pl-PL"/>
        </w:rPr>
        <w:t xml:space="preserve"> Grant Thornton</w:t>
      </w:r>
    </w:p>
    <w:p w:rsidR="007A5040" w:rsidRPr="00A93F45" w:rsidRDefault="007A5040" w:rsidP="007A5040">
      <w:pPr>
        <w:pStyle w:val="Tekstpodstawowy"/>
        <w:spacing w:line="360" w:lineRule="auto"/>
        <w:rPr>
          <w:sz w:val="20"/>
          <w:lang w:val="pl-PL"/>
        </w:rPr>
      </w:pPr>
    </w:p>
    <w:p w:rsidR="00B86408" w:rsidRPr="007A44D1" w:rsidRDefault="007A44D1" w:rsidP="007A5040">
      <w:pPr>
        <w:pStyle w:val="Tekstpodstawowy"/>
        <w:spacing w:line="360" w:lineRule="auto"/>
        <w:rPr>
          <w:sz w:val="20"/>
          <w:lang w:val="pl-PL"/>
        </w:rPr>
      </w:pPr>
      <w:r w:rsidRPr="00C476A1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DB0742" wp14:editId="70B2600B">
                <wp:simplePos x="0" y="0"/>
                <wp:positionH relativeFrom="column">
                  <wp:posOffset>-88900</wp:posOffset>
                </wp:positionH>
                <wp:positionV relativeFrom="paragraph">
                  <wp:posOffset>1679575</wp:posOffset>
                </wp:positionV>
                <wp:extent cx="6648450" cy="230505"/>
                <wp:effectExtent l="0" t="0" r="0" b="0"/>
                <wp:wrapSquare wrapText="bothSides"/>
                <wp:docPr id="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76A1" w:rsidRPr="00B32719" w:rsidRDefault="00C476A1" w:rsidP="00C476A1">
                            <w:pPr>
                              <w:pStyle w:val="NormalnyWeb"/>
                              <w:spacing w:after="0"/>
                              <w:rPr>
                                <w:rFonts w:asciiTheme="majorHAnsi" w:hAnsiTheme="majorHAnsi" w:cstheme="majorHAnsi"/>
                                <w:sz w:val="22"/>
                                <w:lang w:val="pl-PL"/>
                              </w:rPr>
                            </w:pPr>
                            <w:r w:rsidRPr="00B3271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>Wykres 1:</w:t>
                            </w:r>
                            <w:r w:rsidRPr="00B32719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8750D6" w:rsidRPr="008750D6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>Odsetek średnich i dużych firm w Polsce, które planują podwyżki cen w 12 miesiącach pomniejszony o odsetek tych, które planują obniżki (fioletowa linia, lewa oś, w proc.) oraz kwartalny wskaźnik inflacji (niebieska linia, prawa oś, r/r, w proc.)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DB074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7pt;margin-top:132.25pt;width:523.5pt;height:18.1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" filled="f" stroked="f">
                <v:textbox style="mso-fit-shape-to-text:t">
                  <w:txbxContent>
                    <w:p w:rsidR="00C476A1" w:rsidRPr="00B32719" w:rsidRDefault="00C476A1" w:rsidP="00C476A1">
                      <w:pPr>
                        <w:pStyle w:val="NormalnyWeb"/>
                        <w:spacing w:after="0"/>
                        <w:rPr>
                          <w:rFonts w:asciiTheme="majorHAnsi" w:hAnsiTheme="majorHAnsi" w:cstheme="majorHAnsi"/>
                          <w:sz w:val="22"/>
                          <w:lang w:val="pl-PL"/>
                        </w:rPr>
                      </w:pPr>
                      <w:r w:rsidRPr="00B32719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>Wykres 1:</w:t>
                      </w:r>
                      <w:r w:rsidRPr="00B32719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 xml:space="preserve"> </w:t>
                      </w:r>
                      <w:r w:rsidR="008750D6" w:rsidRPr="008750D6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>Odsetek średnich i dużych firm w Polsce, które planują podwyżki cen w 12 miesiącach pomniejszony o odsetek tych, które planują obniżki (fioletowa linia, lewa oś, w proc.) oraz kwartalny wskaźnik inflacji (niebieska linia, prawa oś, r/r, w proc.)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3122" w:rsidRPr="008750D6">
        <w:rPr>
          <w:noProof/>
          <w:sz w:val="20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061B71E6" wp14:editId="65ED273F">
            <wp:simplePos x="0" y="0"/>
            <wp:positionH relativeFrom="column">
              <wp:posOffset>0</wp:posOffset>
            </wp:positionH>
            <wp:positionV relativeFrom="paragraph">
              <wp:posOffset>2075815</wp:posOffset>
            </wp:positionV>
            <wp:extent cx="6413500" cy="2489200"/>
            <wp:effectExtent l="0" t="0" r="0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3DC" w:rsidRPr="006633DC">
        <w:rPr>
          <w:sz w:val="20"/>
          <w:lang w:val="pl-PL"/>
        </w:rPr>
        <w:t>Ostatnie lata to czas rekordowo nisk</w:t>
      </w:r>
      <w:r w:rsidR="008F7583">
        <w:rPr>
          <w:sz w:val="20"/>
          <w:lang w:val="pl-PL"/>
        </w:rPr>
        <w:t>iej dynamiki cen konsumpcyjnych</w:t>
      </w:r>
      <w:r w:rsidR="006633DC" w:rsidRPr="006633DC">
        <w:rPr>
          <w:sz w:val="20"/>
          <w:lang w:val="pl-PL"/>
        </w:rPr>
        <w:t xml:space="preserve"> w Polsce.</w:t>
      </w:r>
      <w:r w:rsidR="006633DC">
        <w:rPr>
          <w:sz w:val="20"/>
          <w:lang w:val="pl-PL"/>
        </w:rPr>
        <w:t xml:space="preserve"> M</w:t>
      </w:r>
      <w:r w:rsidR="006633DC" w:rsidRPr="006633DC">
        <w:rPr>
          <w:sz w:val="20"/>
          <w:lang w:val="pl-PL"/>
        </w:rPr>
        <w:t>imo ożywienia gospodarczego inflacja nadal utrz</w:t>
      </w:r>
      <w:r w:rsidR="006633DC">
        <w:rPr>
          <w:sz w:val="20"/>
          <w:lang w:val="pl-PL"/>
        </w:rPr>
        <w:t>ymuje</w:t>
      </w:r>
      <w:r w:rsidR="006633DC" w:rsidRPr="006633DC">
        <w:rPr>
          <w:sz w:val="20"/>
          <w:lang w:val="pl-PL"/>
        </w:rPr>
        <w:t xml:space="preserve"> się na historycznie niskim poziomie</w:t>
      </w:r>
      <w:r w:rsidR="006633DC">
        <w:rPr>
          <w:sz w:val="20"/>
          <w:lang w:val="pl-PL"/>
        </w:rPr>
        <w:t>,</w:t>
      </w:r>
      <w:r w:rsidR="00B00927">
        <w:rPr>
          <w:sz w:val="20"/>
          <w:lang w:val="pl-PL"/>
        </w:rPr>
        <w:t xml:space="preserve"> a w marcu</w:t>
      </w:r>
      <w:r w:rsidR="006633DC" w:rsidRPr="006633DC">
        <w:rPr>
          <w:sz w:val="20"/>
          <w:lang w:val="pl-PL"/>
        </w:rPr>
        <w:t xml:space="preserve"> 2018 r. spadła n</w:t>
      </w:r>
      <w:r w:rsidR="00B00927">
        <w:rPr>
          <w:sz w:val="20"/>
          <w:lang w:val="pl-PL"/>
        </w:rPr>
        <w:t>awet do 1,3</w:t>
      </w:r>
      <w:r>
        <w:rPr>
          <w:sz w:val="20"/>
          <w:lang w:val="pl-PL"/>
        </w:rPr>
        <w:t xml:space="preserve"> proc</w:t>
      </w:r>
      <w:r w:rsidR="006633DC">
        <w:rPr>
          <w:sz w:val="20"/>
          <w:lang w:val="pl-PL"/>
        </w:rPr>
        <w:t xml:space="preserve">. </w:t>
      </w:r>
      <w:bookmarkStart w:id="0" w:name="_GoBack"/>
      <w:bookmarkEnd w:id="0"/>
      <w:r w:rsidR="006633DC">
        <w:rPr>
          <w:sz w:val="20"/>
          <w:lang w:val="pl-PL"/>
        </w:rPr>
        <w:t xml:space="preserve">Niemniej </w:t>
      </w:r>
      <w:r>
        <w:rPr>
          <w:sz w:val="20"/>
          <w:lang w:val="pl-PL"/>
        </w:rPr>
        <w:t>niektóre</w:t>
      </w:r>
      <w:r w:rsidR="006633DC">
        <w:rPr>
          <w:sz w:val="20"/>
          <w:lang w:val="pl-PL"/>
        </w:rPr>
        <w:t xml:space="preserve"> sygnały wskazują, że </w:t>
      </w:r>
      <w:r w:rsidR="006633DC" w:rsidRPr="006633DC">
        <w:rPr>
          <w:sz w:val="20"/>
          <w:lang w:val="pl-PL"/>
        </w:rPr>
        <w:t>presja inflacyjna w Polsce narasta i dynamika cen może w najbliższych</w:t>
      </w:r>
      <w:r w:rsidR="006633DC">
        <w:rPr>
          <w:sz w:val="20"/>
          <w:lang w:val="pl-PL"/>
        </w:rPr>
        <w:t xml:space="preserve"> </w:t>
      </w:r>
      <w:r w:rsidR="00DC10F4">
        <w:rPr>
          <w:sz w:val="20"/>
          <w:lang w:val="pl-PL"/>
        </w:rPr>
        <w:t xml:space="preserve">kwartałach iść w górę. </w:t>
      </w:r>
      <w:r w:rsidR="00DC10F4" w:rsidRPr="00DC10F4">
        <w:rPr>
          <w:sz w:val="20"/>
          <w:lang w:val="pl-PL"/>
        </w:rPr>
        <w:t xml:space="preserve">Według badania Grant Thornton prowadzonego wśród </w:t>
      </w:r>
      <w:r w:rsidR="008F7583">
        <w:rPr>
          <w:sz w:val="20"/>
          <w:lang w:val="pl-PL"/>
        </w:rPr>
        <w:t xml:space="preserve">średnich i dużych firm, odsetek </w:t>
      </w:r>
      <w:r w:rsidR="00DC10F4" w:rsidRPr="00DC10F4">
        <w:rPr>
          <w:sz w:val="20"/>
          <w:lang w:val="pl-PL"/>
        </w:rPr>
        <w:t xml:space="preserve">przedsiębiorstw, które planują w najbliższych 12 miesiącach podnosić ceny swoich produktów, </w:t>
      </w:r>
      <w:r w:rsidR="00DC10F4" w:rsidRPr="00060EC9">
        <w:rPr>
          <w:b/>
          <w:sz w:val="20"/>
          <w:lang w:val="pl-PL"/>
        </w:rPr>
        <w:t xml:space="preserve">wzrósł </w:t>
      </w:r>
      <w:r w:rsidR="00F05979">
        <w:rPr>
          <w:b/>
          <w:sz w:val="20"/>
          <w:lang w:val="pl-PL"/>
        </w:rPr>
        <w:br/>
      </w:r>
      <w:r w:rsidR="00DC10F4" w:rsidRPr="00060EC9">
        <w:rPr>
          <w:b/>
          <w:sz w:val="20"/>
          <w:lang w:val="pl-PL"/>
        </w:rPr>
        <w:t>w I kwartale 2018 r. do 44 proc.</w:t>
      </w:r>
      <w:r>
        <w:rPr>
          <w:b/>
          <w:sz w:val="20"/>
          <w:lang w:val="pl-PL"/>
        </w:rPr>
        <w:t xml:space="preserve"> </w:t>
      </w:r>
      <w:r w:rsidRPr="007A44D1">
        <w:rPr>
          <w:sz w:val="20"/>
          <w:lang w:val="pl-PL"/>
        </w:rPr>
        <w:t>To źle wróży dla inflacji w Polsce, ponieważ dotąd wyniki naszego badania dość trafnie przewidywały, jak będzie zachowywać się dynamika cen w polskiej gospodarce.</w:t>
      </w:r>
    </w:p>
    <w:p w:rsidR="00743216" w:rsidRDefault="00B50EC3" w:rsidP="00B50EC3">
      <w:pPr>
        <w:pStyle w:val="Tekstpodstawowy"/>
        <w:spacing w:after="0" w:line="480" w:lineRule="auto"/>
        <w:ind w:left="1440"/>
        <w:rPr>
          <w:sz w:val="20"/>
          <w:lang w:val="pl-PL"/>
        </w:rPr>
      </w:pPr>
      <w:r w:rsidRPr="00F308FB">
        <w:rPr>
          <w:noProof/>
          <w:sz w:val="20"/>
          <w:lang w:val="pl-PL" w:eastAsia="pl-PL"/>
        </w:rPr>
        <w:lastRenderedPageBreak/>
        <w:drawing>
          <wp:anchor distT="0" distB="0" distL="114300" distR="114300" simplePos="0" relativeHeight="251656192" behindDoc="0" locked="0" layoutInCell="1" allowOverlap="1" wp14:anchorId="10F789D3" wp14:editId="036F133C">
            <wp:simplePos x="0" y="0"/>
            <wp:positionH relativeFrom="column">
              <wp:posOffset>6350</wp:posOffset>
            </wp:positionH>
            <wp:positionV relativeFrom="paragraph">
              <wp:posOffset>17145</wp:posOffset>
            </wp:positionV>
            <wp:extent cx="660400" cy="615950"/>
            <wp:effectExtent l="0" t="0" r="6350" b="0"/>
            <wp:wrapSquare wrapText="bothSides"/>
            <wp:docPr id="2" name="Obraz 2" descr="C:\Users\kowalczyk.jace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walczyk.jacek\Desktop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EC3">
        <w:rPr>
          <w:sz w:val="20"/>
          <w:lang w:val="pl-PL"/>
        </w:rPr>
        <w:t xml:space="preserve">Opinie przedsiębiorców wynikające z badań Grant Thornton mają także swoje potwierdzenie </w:t>
      </w:r>
      <w:r w:rsidR="00060EC9">
        <w:rPr>
          <w:sz w:val="20"/>
          <w:lang w:val="pl-PL"/>
        </w:rPr>
        <w:br/>
      </w:r>
      <w:r w:rsidRPr="00B50EC3">
        <w:rPr>
          <w:sz w:val="20"/>
          <w:lang w:val="pl-PL"/>
        </w:rPr>
        <w:t xml:space="preserve">w obserwowanych ostatnio zjawiskach makroekonomicznych. Przyspieszenie wzrostu PKB </w:t>
      </w:r>
      <w:r w:rsidR="00060EC9">
        <w:rPr>
          <w:sz w:val="20"/>
          <w:lang w:val="pl-PL"/>
        </w:rPr>
        <w:br/>
      </w:r>
      <w:r w:rsidRPr="00B50EC3">
        <w:rPr>
          <w:sz w:val="20"/>
          <w:lang w:val="pl-PL"/>
        </w:rPr>
        <w:t>w Polsce oraz dalszy wzrost zatrudnienia i wynagrodzeń w większości sektorów naszej gospodarki powodują, że nal</w:t>
      </w:r>
      <w:r>
        <w:rPr>
          <w:sz w:val="20"/>
          <w:lang w:val="pl-PL"/>
        </w:rPr>
        <w:t xml:space="preserve">eży oczekiwać wzrostu inflacji – komentuje </w:t>
      </w:r>
      <w:r w:rsidRPr="00BC002E">
        <w:rPr>
          <w:b/>
          <w:sz w:val="20"/>
          <w:lang w:val="pl-PL"/>
        </w:rPr>
        <w:t>Mariusz Maik</w:t>
      </w:r>
      <w:r w:rsidR="00BC002E">
        <w:rPr>
          <w:b/>
          <w:sz w:val="20"/>
          <w:lang w:val="pl-PL"/>
        </w:rPr>
        <w:t>,</w:t>
      </w:r>
      <w:r>
        <w:rPr>
          <w:sz w:val="20"/>
          <w:lang w:val="pl-PL"/>
        </w:rPr>
        <w:t xml:space="preserve"> </w:t>
      </w:r>
      <w:r w:rsidR="00060EC9">
        <w:rPr>
          <w:sz w:val="20"/>
          <w:lang w:val="pl-PL"/>
        </w:rPr>
        <w:br/>
      </w:r>
      <w:r>
        <w:rPr>
          <w:sz w:val="20"/>
          <w:lang w:val="pl-PL"/>
        </w:rPr>
        <w:t xml:space="preserve">Partner w </w:t>
      </w:r>
      <w:r w:rsidRPr="00B50EC3">
        <w:rPr>
          <w:sz w:val="20"/>
          <w:lang w:val="pl-PL"/>
        </w:rPr>
        <w:t>Grant Thornton</w:t>
      </w:r>
      <w:r w:rsidR="00BC002E">
        <w:rPr>
          <w:sz w:val="20"/>
          <w:lang w:val="pl-PL"/>
        </w:rPr>
        <w:t>.</w:t>
      </w:r>
    </w:p>
    <w:p w:rsidR="00640481" w:rsidRDefault="007A44D1" w:rsidP="007A5040">
      <w:pPr>
        <w:pStyle w:val="Tekstpodstawowy"/>
        <w:spacing w:line="360" w:lineRule="auto"/>
        <w:rPr>
          <w:sz w:val="20"/>
          <w:lang w:val="pl-PL"/>
        </w:rPr>
      </w:pPr>
      <w:r w:rsidRPr="001F60FC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3D30D" wp14:editId="5D246FF7">
                <wp:simplePos x="0" y="0"/>
                <wp:positionH relativeFrom="column">
                  <wp:posOffset>-81915</wp:posOffset>
                </wp:positionH>
                <wp:positionV relativeFrom="paragraph">
                  <wp:posOffset>2280920</wp:posOffset>
                </wp:positionV>
                <wp:extent cx="6559550" cy="230505"/>
                <wp:effectExtent l="0" t="0" r="0" b="0"/>
                <wp:wrapSquare wrapText="bothSides"/>
                <wp:docPr id="1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60FC" w:rsidRPr="00520B31" w:rsidRDefault="00D21A0E" w:rsidP="00520B31">
                            <w:pPr>
                              <w:pStyle w:val="NormalnyWeb"/>
                              <w:spacing w:after="0"/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</w:pPr>
                            <w:r w:rsidRPr="005B1EAB">
                              <w:rPr>
                                <w:rFonts w:asciiTheme="minorHAnsi" w:hAnsi="Arial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>Wykres 2</w:t>
                            </w:r>
                            <w:r w:rsidR="001F60FC" w:rsidRPr="005B1EAB">
                              <w:rPr>
                                <w:rFonts w:asciiTheme="minorHAnsi" w:hAnsi="Arial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>:</w:t>
                            </w:r>
                            <w:r w:rsidR="001F60FC" w:rsidRPr="00D21A0E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520B31" w:rsidRPr="00520B31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>Jak oceniasz perspektywy gospodarcze na najbliż</w:t>
                            </w:r>
                            <w:r w:rsidR="00520B31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 xml:space="preserve">sze </w:t>
                            </w:r>
                            <w:r w:rsidR="00520B31" w:rsidRPr="00520B31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>12 miesięcy – odpowiedzi polskich firm (odsetek firm oceniających perspektywy optymistycznie pomniejszony o odsetek firm oceniających je pesymistycznie, w proc.)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E3D30D" id="pole tekstowe 2" o:spid="_x0000_s1027" type="#_x0000_t202" style="position:absolute;margin-left:-6.45pt;margin-top:179.6pt;width:516.5pt;height:1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" filled="f" stroked="f">
                <v:textbox style="mso-fit-shape-to-text:t">
                  <w:txbxContent>
                    <w:p w:rsidR="001F60FC" w:rsidRPr="00520B31" w:rsidRDefault="00D21A0E" w:rsidP="00520B31">
                      <w:pPr>
                        <w:pStyle w:val="NormalnyWeb"/>
                        <w:spacing w:after="0"/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</w:pPr>
                      <w:r w:rsidRPr="005B1EAB">
                        <w:rPr>
                          <w:rFonts w:asciiTheme="minorHAnsi" w:hAnsi="Arial" w:cstheme="minorBidi"/>
                          <w:b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>Wykres 2</w:t>
                      </w:r>
                      <w:r w:rsidR="001F60FC" w:rsidRPr="005B1EAB">
                        <w:rPr>
                          <w:rFonts w:asciiTheme="minorHAnsi" w:hAnsi="Arial" w:cstheme="minorBidi"/>
                          <w:b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>:</w:t>
                      </w:r>
                      <w:r w:rsidR="001F60FC" w:rsidRPr="00D21A0E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 xml:space="preserve"> </w:t>
                      </w:r>
                      <w:r w:rsidR="00520B31" w:rsidRPr="00520B31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>Jak oceniasz perspektywy gospodarcze na najbliż</w:t>
                      </w:r>
                      <w:r w:rsidR="00520B31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 xml:space="preserve">sze </w:t>
                      </w:r>
                      <w:r w:rsidR="00520B31" w:rsidRPr="00520B31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>12 miesięcy – odpowiedzi polskich firm (odsetek firm oceniających perspektywy optymistycznie pomniejszony o odsetek firm oceniających je pesymistycznie, w proc.)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EC3" w:rsidRPr="00BC002E">
        <w:rPr>
          <w:sz w:val="2"/>
          <w:lang w:val="pl-PL"/>
        </w:rPr>
        <w:br/>
      </w:r>
      <w:r w:rsidR="00B50EC3" w:rsidRPr="00BC002E">
        <w:rPr>
          <w:sz w:val="2"/>
          <w:lang w:val="pl-PL"/>
        </w:rPr>
        <w:br/>
      </w:r>
      <w:r w:rsidR="00B50EC3">
        <w:rPr>
          <w:sz w:val="20"/>
          <w:lang w:val="pl-PL"/>
        </w:rPr>
        <w:br/>
      </w:r>
      <w:r w:rsidR="00B50EC3" w:rsidRPr="00B50EC3">
        <w:rPr>
          <w:sz w:val="20"/>
          <w:lang w:val="pl-PL"/>
        </w:rPr>
        <w:t>Co skłania przedsiębiorców do podnoszenia cen? Przede wszys</w:t>
      </w:r>
      <w:r w:rsidR="00B50EC3">
        <w:rPr>
          <w:sz w:val="20"/>
          <w:lang w:val="pl-PL"/>
        </w:rPr>
        <w:t xml:space="preserve">tkim rosnący popyt </w:t>
      </w:r>
      <w:r w:rsidR="00B50EC3" w:rsidRPr="00B50EC3">
        <w:rPr>
          <w:sz w:val="20"/>
          <w:lang w:val="pl-PL"/>
        </w:rPr>
        <w:t>i wiara w przyszłą koniunkturę</w:t>
      </w:r>
      <w:r w:rsidR="00BC002E">
        <w:rPr>
          <w:sz w:val="20"/>
          <w:lang w:val="pl-PL"/>
        </w:rPr>
        <w:t xml:space="preserve">. Z jednej strony przedsiębiorcy </w:t>
      </w:r>
      <w:r w:rsidR="00BC002E" w:rsidRPr="00BC002E">
        <w:rPr>
          <w:sz w:val="20"/>
          <w:lang w:val="pl-PL"/>
        </w:rPr>
        <w:t>w ostatnim czasie o</w:t>
      </w:r>
      <w:r w:rsidR="00BC002E">
        <w:rPr>
          <w:sz w:val="20"/>
          <w:lang w:val="pl-PL"/>
        </w:rPr>
        <w:t xml:space="preserve">dnotowują silny wzrost popytu. </w:t>
      </w:r>
      <w:r w:rsidR="00BC002E" w:rsidRPr="00BC002E">
        <w:rPr>
          <w:sz w:val="20"/>
          <w:lang w:val="pl-PL"/>
        </w:rPr>
        <w:t>W I kwartale 2018 r. odsetek firm, dla których słaby popyt jest barierą, spadł do zaledwie 16 proc. i jest najniższy przynajmniej od 2010 r.</w:t>
      </w:r>
      <w:r w:rsidR="00BC002E">
        <w:rPr>
          <w:sz w:val="20"/>
          <w:lang w:val="pl-PL"/>
        </w:rPr>
        <w:t xml:space="preserve"> </w:t>
      </w:r>
      <w:r w:rsidR="00BC002E">
        <w:rPr>
          <w:sz w:val="20"/>
          <w:lang w:val="pl-PL"/>
        </w:rPr>
        <w:br/>
      </w:r>
      <w:r w:rsidR="00BC002E" w:rsidRPr="00BC002E">
        <w:rPr>
          <w:sz w:val="20"/>
          <w:lang w:val="pl-PL"/>
        </w:rPr>
        <w:t>Z drugiej strony, przedsiębiorcy czują się coraz bezpieczniej, jeśli chodzi o perspektywy na przyszłość. Wskaźnik optymizmu gospodarczego (odsetek firm określających perspektywy dla gospodarki na najbliższe 12 miesięcy jako „optymistyczne” minus odsetek firm określających te perspektywy jako „pesymistyczne”) wzró</w:t>
      </w:r>
      <w:r w:rsidR="00BC002E">
        <w:rPr>
          <w:sz w:val="20"/>
          <w:lang w:val="pl-PL"/>
        </w:rPr>
        <w:t xml:space="preserve">sł </w:t>
      </w:r>
      <w:r w:rsidR="00BC002E" w:rsidRPr="00BC002E">
        <w:rPr>
          <w:sz w:val="20"/>
          <w:lang w:val="pl-PL"/>
        </w:rPr>
        <w:t>w I kwartale 2018 r. do rekordowyc</w:t>
      </w:r>
      <w:r w:rsidR="00BC002E">
        <w:rPr>
          <w:sz w:val="20"/>
          <w:lang w:val="pl-PL"/>
        </w:rPr>
        <w:t xml:space="preserve">h 48 proc., najwyższego wyniku </w:t>
      </w:r>
      <w:r w:rsidR="00BC002E" w:rsidRPr="00BC002E">
        <w:rPr>
          <w:sz w:val="20"/>
          <w:lang w:val="pl-PL"/>
        </w:rPr>
        <w:t>w siedmioletniej historii badania.</w:t>
      </w:r>
      <w:r w:rsidR="00520B31" w:rsidRPr="00520B31">
        <w:rPr>
          <w:noProof/>
          <w:lang w:val="pl-PL" w:eastAsia="pl-PL"/>
        </w:rPr>
        <w:t xml:space="preserve"> </w:t>
      </w:r>
    </w:p>
    <w:p w:rsidR="00640481" w:rsidRDefault="007A44D1" w:rsidP="007A5040">
      <w:pPr>
        <w:pStyle w:val="Tekstpodstawowy"/>
        <w:spacing w:line="360" w:lineRule="auto"/>
        <w:rPr>
          <w:sz w:val="20"/>
          <w:lang w:val="pl-PL"/>
        </w:rPr>
      </w:pPr>
      <w:r w:rsidRPr="00520B31">
        <w:rPr>
          <w:noProof/>
          <w:sz w:val="20"/>
          <w:lang w:val="pl-PL" w:eastAsia="pl-PL"/>
        </w:rPr>
        <w:drawing>
          <wp:anchor distT="0" distB="0" distL="114300" distR="114300" simplePos="0" relativeHeight="251677696" behindDoc="0" locked="0" layoutInCell="1" allowOverlap="1" wp14:anchorId="71E0F673" wp14:editId="5E5B9E53">
            <wp:simplePos x="0" y="0"/>
            <wp:positionH relativeFrom="column">
              <wp:posOffset>4445</wp:posOffset>
            </wp:positionH>
            <wp:positionV relativeFrom="paragraph">
              <wp:posOffset>845185</wp:posOffset>
            </wp:positionV>
            <wp:extent cx="6357620" cy="3165475"/>
            <wp:effectExtent l="0" t="0" r="0" b="0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481" w:rsidRDefault="00572072" w:rsidP="007A5040">
      <w:pPr>
        <w:pStyle w:val="Tekstpodstawowy"/>
        <w:spacing w:line="360" w:lineRule="auto"/>
        <w:rPr>
          <w:sz w:val="20"/>
          <w:lang w:val="pl-PL"/>
        </w:rPr>
      </w:pPr>
      <w:r w:rsidRPr="00520B31">
        <w:rPr>
          <w:sz w:val="20"/>
          <w:lang w:val="pl-PL"/>
        </w:rPr>
        <w:t xml:space="preserve"> </w:t>
      </w:r>
      <w:r w:rsidRPr="00520B31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FBA9E35" wp14:editId="655443D3">
                <wp:simplePos x="0" y="0"/>
                <wp:positionH relativeFrom="column">
                  <wp:posOffset>4367530</wp:posOffset>
                </wp:positionH>
                <wp:positionV relativeFrom="paragraph">
                  <wp:posOffset>621030</wp:posOffset>
                </wp:positionV>
                <wp:extent cx="924560" cy="2768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0B31" w:rsidRDefault="00520B31" w:rsidP="00520B31">
                            <w:pPr>
                              <w:pStyle w:val="NormalnyWeb"/>
                              <w:spacing w:after="0"/>
                            </w:pPr>
                            <w:proofErr w:type="spellStart"/>
                            <w:r>
                              <w:rPr>
                                <w:rFonts w:ascii="GT Walsheim Pro Light" w:hAnsi="GT Walsheim Pro Light" w:cstheme="minorBidi"/>
                                <w:color w:val="4F2D7F"/>
                                <w:kern w:val="24"/>
                              </w:rPr>
                              <w:t>Optymizm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A9E35" id="pole tekstowe 9" o:spid="_x0000_s1028" type="#_x0000_t202" style="position:absolute;margin-left:343.9pt;margin-top:48.9pt;width:72.8pt;height:21.8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" filled="f" stroked="f">
                <v:textbox style="mso-fit-shape-to-text:t">
                  <w:txbxContent>
                    <w:p w:rsidR="00520B31" w:rsidRDefault="00520B31" w:rsidP="00520B31">
                      <w:pPr>
                        <w:pStyle w:val="NormalnyWeb"/>
                        <w:spacing w:after="0"/>
                      </w:pPr>
                      <w:proofErr w:type="spellStart"/>
                      <w:r>
                        <w:rPr>
                          <w:rFonts w:ascii="GT Walsheim Pro Light" w:hAnsi="GT Walsheim Pro Light" w:cstheme="minorBidi"/>
                          <w:color w:val="4F2D7F"/>
                          <w:kern w:val="24"/>
                        </w:rPr>
                        <w:t>Optymizm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Pr="00520B31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986B63" wp14:editId="495C88CF">
                <wp:simplePos x="0" y="0"/>
                <wp:positionH relativeFrom="column">
                  <wp:posOffset>5218430</wp:posOffset>
                </wp:positionH>
                <wp:positionV relativeFrom="paragraph">
                  <wp:posOffset>859155</wp:posOffset>
                </wp:positionV>
                <wp:extent cx="201930" cy="201930"/>
                <wp:effectExtent l="0" t="0" r="26670" b="26670"/>
                <wp:wrapThrough wrapText="bothSides">
                  <wp:wrapPolygon edited="0">
                    <wp:start x="0" y="0"/>
                    <wp:lineTo x="0" y="4075"/>
                    <wp:lineTo x="16302" y="22415"/>
                    <wp:lineTo x="22415" y="22415"/>
                    <wp:lineTo x="22415" y="18340"/>
                    <wp:lineTo x="6113" y="0"/>
                    <wp:lineTo x="0" y="0"/>
                  </wp:wrapPolygon>
                </wp:wrapThrough>
                <wp:docPr id="8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" cy="20193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F2D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35B8C" id="Łącznik prosty 4" o:spid="_x0000_s1026" style="position:absolute;flip:x y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9pt,67.65pt" to="426.8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" strokecolor="#4f2d7f">
                <w10:wrap type="through"/>
              </v:line>
            </w:pict>
          </mc:Fallback>
        </mc:AlternateContent>
      </w:r>
      <w:r w:rsidRPr="00520B31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2495D29" wp14:editId="23879A08">
                <wp:simplePos x="0" y="0"/>
                <wp:positionH relativeFrom="column">
                  <wp:posOffset>3498850</wp:posOffset>
                </wp:positionH>
                <wp:positionV relativeFrom="paragraph">
                  <wp:posOffset>2703830</wp:posOffset>
                </wp:positionV>
                <wp:extent cx="1924050" cy="2768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1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0B31" w:rsidRDefault="00520B31" w:rsidP="00520B31">
                            <w:pPr>
                              <w:pStyle w:val="NormalnyWeb"/>
                              <w:spacing w:after="0"/>
                            </w:pPr>
                            <w:proofErr w:type="spellStart"/>
                            <w:r>
                              <w:rPr>
                                <w:rFonts w:ascii="GT Walsheim Pro Light" w:hAnsi="GT Walsheim Pro Light" w:cstheme="minorBidi"/>
                                <w:color w:val="00A7B5"/>
                                <w:kern w:val="24"/>
                              </w:rPr>
                              <w:t>Bariera</w:t>
                            </w:r>
                            <w:proofErr w:type="spellEnd"/>
                            <w:r>
                              <w:rPr>
                                <w:rFonts w:ascii="GT Walsheim Pro Light" w:hAnsi="GT Walsheim Pro Light" w:cstheme="minorBidi"/>
                                <w:color w:val="00A7B5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T Walsheim Pro Light" w:hAnsi="GT Walsheim Pro Light" w:cstheme="minorBidi"/>
                                <w:color w:val="00A7B5"/>
                                <w:kern w:val="24"/>
                              </w:rPr>
                              <w:t>słabego</w:t>
                            </w:r>
                            <w:proofErr w:type="spellEnd"/>
                            <w:r>
                              <w:rPr>
                                <w:rFonts w:ascii="GT Walsheim Pro Light" w:hAnsi="GT Walsheim Pro Light" w:cstheme="minorBidi"/>
                                <w:color w:val="00A7B5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T Walsheim Pro Light" w:hAnsi="GT Walsheim Pro Light" w:cstheme="minorBidi"/>
                                <w:color w:val="00A7B5"/>
                                <w:kern w:val="24"/>
                              </w:rPr>
                              <w:t>popytu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95D29" id="pole tekstowe 10" o:spid="_x0000_s1029" type="#_x0000_t202" style="position:absolute;margin-left:275.5pt;margin-top:212.9pt;width:151.5pt;height:21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" filled="f" stroked="f">
                <v:textbox style="mso-fit-shape-to-text:t">
                  <w:txbxContent>
                    <w:p w:rsidR="00520B31" w:rsidRDefault="00520B31" w:rsidP="00520B31">
                      <w:pPr>
                        <w:pStyle w:val="NormalnyWeb"/>
                        <w:spacing w:after="0"/>
                      </w:pPr>
                      <w:proofErr w:type="spellStart"/>
                      <w:r>
                        <w:rPr>
                          <w:rFonts w:ascii="GT Walsheim Pro Light" w:hAnsi="GT Walsheim Pro Light" w:cstheme="minorBidi"/>
                          <w:color w:val="00A7B5"/>
                          <w:kern w:val="24"/>
                        </w:rPr>
                        <w:t>Bariera</w:t>
                      </w:r>
                      <w:proofErr w:type="spellEnd"/>
                      <w:r>
                        <w:rPr>
                          <w:rFonts w:ascii="GT Walsheim Pro Light" w:hAnsi="GT Walsheim Pro Light" w:cstheme="minorBidi"/>
                          <w:color w:val="00A7B5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T Walsheim Pro Light" w:hAnsi="GT Walsheim Pro Light" w:cstheme="minorBidi"/>
                          <w:color w:val="00A7B5"/>
                          <w:kern w:val="24"/>
                        </w:rPr>
                        <w:t>słabego</w:t>
                      </w:r>
                      <w:proofErr w:type="spellEnd"/>
                      <w:r>
                        <w:rPr>
                          <w:rFonts w:ascii="GT Walsheim Pro Light" w:hAnsi="GT Walsheim Pro Light" w:cstheme="minorBidi"/>
                          <w:color w:val="00A7B5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T Walsheim Pro Light" w:hAnsi="GT Walsheim Pro Light" w:cstheme="minorBidi"/>
                          <w:color w:val="00A7B5"/>
                          <w:kern w:val="24"/>
                        </w:rPr>
                        <w:t>popytu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Pr="00520B31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0B3515B" wp14:editId="0A44F3CB">
                <wp:simplePos x="0" y="0"/>
                <wp:positionH relativeFrom="column">
                  <wp:posOffset>5160645</wp:posOffset>
                </wp:positionH>
                <wp:positionV relativeFrom="paragraph">
                  <wp:posOffset>2609215</wp:posOffset>
                </wp:positionV>
                <wp:extent cx="273050" cy="138430"/>
                <wp:effectExtent l="0" t="0" r="31750" b="33020"/>
                <wp:wrapThrough wrapText="bothSides">
                  <wp:wrapPolygon edited="0">
                    <wp:start x="16577" y="0"/>
                    <wp:lineTo x="0" y="17835"/>
                    <wp:lineTo x="0" y="23780"/>
                    <wp:lineTo x="4521" y="23780"/>
                    <wp:lineTo x="22605" y="2972"/>
                    <wp:lineTo x="22605" y="0"/>
                    <wp:lineTo x="16577" y="0"/>
                  </wp:wrapPolygon>
                </wp:wrapThrough>
                <wp:docPr id="15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13843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A7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B7FA3" id="Łącznik prosty 14" o:spid="_x0000_s1026" style="position:absolute;flip:x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35pt,205.45pt" to="427.85pt,2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" strokecolor="#00a7b5">
                <w10:wrap type="through"/>
              </v:line>
            </w:pict>
          </mc:Fallback>
        </mc:AlternateContent>
      </w:r>
    </w:p>
    <w:p w:rsidR="00060EC9" w:rsidRDefault="00060EC9" w:rsidP="00060EC9">
      <w:pPr>
        <w:pStyle w:val="Tekstpodstawowy"/>
        <w:spacing w:after="0" w:line="480" w:lineRule="auto"/>
        <w:rPr>
          <w:sz w:val="20"/>
          <w:lang w:val="pl-PL"/>
        </w:rPr>
      </w:pPr>
    </w:p>
    <w:p w:rsidR="00060EC9" w:rsidRDefault="00060EC9" w:rsidP="00060EC9">
      <w:pPr>
        <w:pStyle w:val="Tekstpodstawowy"/>
        <w:spacing w:after="0" w:line="480" w:lineRule="auto"/>
        <w:rPr>
          <w:sz w:val="20"/>
          <w:lang w:val="pl-PL"/>
        </w:rPr>
      </w:pPr>
    </w:p>
    <w:p w:rsidR="00640481" w:rsidRDefault="00060EC9" w:rsidP="00060EC9">
      <w:pPr>
        <w:pStyle w:val="Tekstpodstawowy"/>
        <w:spacing w:after="0" w:line="480" w:lineRule="auto"/>
        <w:rPr>
          <w:sz w:val="20"/>
          <w:lang w:val="pl-PL"/>
        </w:rPr>
      </w:pPr>
      <w:r w:rsidRPr="00F308FB">
        <w:rPr>
          <w:noProof/>
          <w:sz w:val="20"/>
          <w:lang w:val="pl-PL" w:eastAsia="pl-PL"/>
        </w:rPr>
        <w:lastRenderedPageBreak/>
        <w:drawing>
          <wp:anchor distT="0" distB="0" distL="114300" distR="114300" simplePos="0" relativeHeight="251652096" behindDoc="0" locked="0" layoutInCell="1" allowOverlap="1" wp14:anchorId="444B0CAE" wp14:editId="0E325378">
            <wp:simplePos x="0" y="0"/>
            <wp:positionH relativeFrom="column">
              <wp:posOffset>635</wp:posOffset>
            </wp:positionH>
            <wp:positionV relativeFrom="paragraph">
              <wp:posOffset>-133350</wp:posOffset>
            </wp:positionV>
            <wp:extent cx="660400" cy="615950"/>
            <wp:effectExtent l="0" t="0" r="6350" b="0"/>
            <wp:wrapSquare wrapText="bothSides"/>
            <wp:docPr id="1" name="Obraz 1" descr="C:\Users\kowalczyk.jace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walczyk.jacek\Desktop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4D1">
        <w:rPr>
          <w:sz w:val="20"/>
          <w:lang w:val="pl-PL"/>
        </w:rPr>
        <w:t xml:space="preserve">Należy pamiętać, że wzrost wynagrodzeń i rosnąca konsumpcja przekładają się na inflację z opóźnieniem trzech-czterech kwartałów. </w:t>
      </w:r>
      <w:r w:rsidR="00640481" w:rsidRPr="00640481">
        <w:rPr>
          <w:sz w:val="20"/>
          <w:lang w:val="pl-PL"/>
        </w:rPr>
        <w:t>Możemy się zatem spodziewać, że wzrost kosztów pracy</w:t>
      </w:r>
      <w:r w:rsidR="007A44D1">
        <w:rPr>
          <w:sz w:val="20"/>
          <w:lang w:val="pl-PL"/>
        </w:rPr>
        <w:t>, który widoczny był w 2017 roku,</w:t>
      </w:r>
      <w:r w:rsidR="00640481" w:rsidRPr="00640481">
        <w:rPr>
          <w:sz w:val="20"/>
          <w:lang w:val="pl-PL"/>
        </w:rPr>
        <w:t xml:space="preserve"> nie został jeszcze przełożony prze</w:t>
      </w:r>
      <w:r w:rsidR="007A44D1">
        <w:rPr>
          <w:sz w:val="20"/>
          <w:lang w:val="pl-PL"/>
        </w:rPr>
        <w:t>z przedsiębiorców na klientów. Nastąpi to raczej w najbliższych miesiącach, więc</w:t>
      </w:r>
      <w:r w:rsidR="00640481" w:rsidRPr="00640481">
        <w:rPr>
          <w:sz w:val="20"/>
          <w:lang w:val="pl-PL"/>
        </w:rPr>
        <w:t xml:space="preserve"> </w:t>
      </w:r>
      <w:r w:rsidR="00640481">
        <w:rPr>
          <w:sz w:val="20"/>
          <w:lang w:val="pl-PL"/>
        </w:rPr>
        <w:t xml:space="preserve">ceny mogą rzeczywiście wzrosnąć – konkluduje </w:t>
      </w:r>
      <w:r w:rsidR="00640481" w:rsidRPr="00BC002E">
        <w:rPr>
          <w:b/>
          <w:sz w:val="20"/>
          <w:lang w:val="pl-PL"/>
        </w:rPr>
        <w:t>Mariusz Maik</w:t>
      </w:r>
      <w:r w:rsidR="00640481">
        <w:rPr>
          <w:b/>
          <w:sz w:val="20"/>
          <w:lang w:val="pl-PL"/>
        </w:rPr>
        <w:t>.</w:t>
      </w:r>
    </w:p>
    <w:p w:rsidR="00640481" w:rsidRDefault="00640481" w:rsidP="007A5040">
      <w:pPr>
        <w:pStyle w:val="Tekstpodstawowy"/>
        <w:spacing w:line="360" w:lineRule="auto"/>
        <w:rPr>
          <w:sz w:val="20"/>
          <w:lang w:val="pl-PL"/>
        </w:rPr>
      </w:pPr>
    </w:p>
    <w:p w:rsidR="007A5040" w:rsidRDefault="005B1EAB" w:rsidP="007A5040">
      <w:pPr>
        <w:pStyle w:val="Tekstpodstawowy"/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 xml:space="preserve">Pełen raport dostępny jest na </w:t>
      </w:r>
      <w:hyperlink r:id="rId14" w:history="1">
        <w:r w:rsidRPr="00933FDC">
          <w:rPr>
            <w:rStyle w:val="Hipercze"/>
            <w:sz w:val="20"/>
            <w:lang w:val="pl-PL"/>
          </w:rPr>
          <w:t>www.GrantThornton.pl</w:t>
        </w:r>
      </w:hyperlink>
      <w:r>
        <w:rPr>
          <w:sz w:val="20"/>
          <w:lang w:val="pl-PL"/>
        </w:rPr>
        <w:t>.</w:t>
      </w:r>
    </w:p>
    <w:p w:rsidR="007A5040" w:rsidRDefault="007A5040" w:rsidP="007A5040">
      <w:pPr>
        <w:pStyle w:val="Tekstpodstawowy"/>
        <w:spacing w:line="360" w:lineRule="auto"/>
        <w:rPr>
          <w:sz w:val="20"/>
          <w:lang w:val="pl-PL"/>
        </w:rPr>
      </w:pPr>
    </w:p>
    <w:p w:rsidR="007A5040" w:rsidRPr="000C4938" w:rsidRDefault="007A5040" w:rsidP="007A5040">
      <w:pPr>
        <w:pStyle w:val="Tekstpodstawowy"/>
        <w:spacing w:line="360" w:lineRule="auto"/>
        <w:jc w:val="center"/>
        <w:rPr>
          <w:sz w:val="20"/>
          <w:lang w:val="pl-PL"/>
        </w:rPr>
      </w:pPr>
      <w:r>
        <w:rPr>
          <w:sz w:val="20"/>
          <w:lang w:val="pl-PL"/>
        </w:rPr>
        <w:t>- koniec -</w:t>
      </w:r>
    </w:p>
    <w:p w:rsidR="007A5040" w:rsidRPr="000C4938" w:rsidRDefault="007A5040" w:rsidP="007A5040">
      <w:pPr>
        <w:pStyle w:val="Nagwek2"/>
        <w:rPr>
          <w:lang w:val="pl-PL"/>
        </w:rPr>
      </w:pPr>
    </w:p>
    <w:p w:rsidR="007A5040" w:rsidRPr="007A1BD1" w:rsidRDefault="007A5040" w:rsidP="007A5040">
      <w:pPr>
        <w:pStyle w:val="Nagwek2"/>
        <w:rPr>
          <w:color w:val="4F2D7F"/>
          <w:lang w:val="pl-PL"/>
        </w:rPr>
      </w:pPr>
      <w:r w:rsidRPr="007A1BD1">
        <w:rPr>
          <w:color w:val="4F2D7F"/>
          <w:lang w:val="pl-PL"/>
        </w:rPr>
        <w:t>Zachęcamy do kontaktu:</w:t>
      </w:r>
    </w:p>
    <w:p w:rsidR="007A5040" w:rsidRPr="007A44D1" w:rsidRDefault="007A5040" w:rsidP="007A5040">
      <w:pPr>
        <w:pStyle w:val="Tekstpodstawowy"/>
        <w:rPr>
          <w:b/>
          <w:lang w:val="pl-PL"/>
        </w:rPr>
      </w:pPr>
      <w:r w:rsidRPr="007A44D1">
        <w:rPr>
          <w:b/>
          <w:lang w:val="pl-PL"/>
        </w:rPr>
        <w:t>Jacek Kowalczyk</w:t>
      </w:r>
    </w:p>
    <w:p w:rsidR="007A5040" w:rsidRPr="00F8316C" w:rsidRDefault="007A5040" w:rsidP="007A5040">
      <w:pPr>
        <w:pStyle w:val="Tekstpodstawowy"/>
        <w:rPr>
          <w:lang w:val="en-US"/>
        </w:rPr>
      </w:pPr>
      <w:proofErr w:type="spellStart"/>
      <w:r w:rsidRPr="00F8316C">
        <w:rPr>
          <w:lang w:val="en-US"/>
        </w:rPr>
        <w:t>Dyrektor</w:t>
      </w:r>
      <w:proofErr w:type="spellEnd"/>
      <w:r w:rsidRPr="00F8316C">
        <w:rPr>
          <w:lang w:val="en-US"/>
        </w:rPr>
        <w:t xml:space="preserve"> ds. </w:t>
      </w:r>
      <w:proofErr w:type="spellStart"/>
      <w:r w:rsidRPr="00F8316C">
        <w:rPr>
          <w:lang w:val="en-US"/>
        </w:rPr>
        <w:t>Marketingu</w:t>
      </w:r>
      <w:proofErr w:type="spellEnd"/>
      <w:r w:rsidRPr="00F8316C">
        <w:rPr>
          <w:lang w:val="en-US"/>
        </w:rPr>
        <w:t xml:space="preserve"> </w:t>
      </w:r>
      <w:proofErr w:type="spellStart"/>
      <w:r w:rsidRPr="00F8316C">
        <w:rPr>
          <w:lang w:val="en-US"/>
        </w:rPr>
        <w:t>i</w:t>
      </w:r>
      <w:proofErr w:type="spellEnd"/>
      <w:r w:rsidRPr="00F8316C">
        <w:rPr>
          <w:lang w:val="en-US"/>
        </w:rPr>
        <w:t xml:space="preserve"> PR</w:t>
      </w:r>
    </w:p>
    <w:p w:rsidR="007A5040" w:rsidRPr="00F8316C" w:rsidRDefault="007A5040" w:rsidP="007A5040">
      <w:pPr>
        <w:pStyle w:val="Tekstpodstawowy"/>
        <w:rPr>
          <w:lang w:val="en-US"/>
        </w:rPr>
      </w:pPr>
      <w:r w:rsidRPr="00F8316C">
        <w:rPr>
          <w:lang w:val="en-US"/>
        </w:rPr>
        <w:t>Grant Thornton</w:t>
      </w:r>
    </w:p>
    <w:p w:rsidR="007A5040" w:rsidRPr="00F8316C" w:rsidRDefault="007A5040" w:rsidP="007A5040">
      <w:pPr>
        <w:pStyle w:val="Tekstpodstawowy"/>
        <w:rPr>
          <w:lang w:val="en-US"/>
        </w:rPr>
      </w:pPr>
      <w:r w:rsidRPr="007A44D1">
        <w:rPr>
          <w:b/>
          <w:lang w:val="en-US"/>
        </w:rPr>
        <w:t xml:space="preserve">T </w:t>
      </w:r>
      <w:r w:rsidRPr="00F8316C">
        <w:rPr>
          <w:lang w:val="en-US"/>
        </w:rPr>
        <w:t>505 024 168, 22 205 48 41</w:t>
      </w:r>
    </w:p>
    <w:p w:rsidR="007A5040" w:rsidRPr="00586336" w:rsidRDefault="007A5040" w:rsidP="007A5040">
      <w:pPr>
        <w:pStyle w:val="Tekstpodstawowy"/>
        <w:rPr>
          <w:lang w:val="en-US"/>
        </w:rPr>
      </w:pPr>
      <w:r w:rsidRPr="007A44D1">
        <w:rPr>
          <w:b/>
          <w:lang w:val="en-US"/>
        </w:rPr>
        <w:t xml:space="preserve">E </w:t>
      </w:r>
      <w:r w:rsidRPr="00586336">
        <w:rPr>
          <w:lang w:val="en-US"/>
        </w:rPr>
        <w:t>jacek.kowalczyk@pl.gt.com</w:t>
      </w:r>
    </w:p>
    <w:p w:rsidR="007A5040" w:rsidRPr="00586336" w:rsidRDefault="007A5040" w:rsidP="007A5040">
      <w:pPr>
        <w:pStyle w:val="Nagwek3"/>
        <w:rPr>
          <w:lang w:val="en-US"/>
        </w:rPr>
      </w:pPr>
    </w:p>
    <w:p w:rsidR="007A5040" w:rsidRPr="00911A06" w:rsidRDefault="007A5040" w:rsidP="007A5040">
      <w:pPr>
        <w:pStyle w:val="Nagwek4"/>
        <w:rPr>
          <w:b/>
          <w:lang w:val="en-US"/>
        </w:rPr>
      </w:pPr>
      <w:r w:rsidRPr="00911A06">
        <w:rPr>
          <w:b/>
          <w:lang w:val="en-US"/>
        </w:rPr>
        <w:t>O Grant Thornton</w:t>
      </w:r>
    </w:p>
    <w:p w:rsidR="007A5040" w:rsidRPr="000C4938" w:rsidRDefault="007A5040" w:rsidP="007A5040">
      <w:pPr>
        <w:pStyle w:val="Tekstpodstawowy"/>
        <w:rPr>
          <w:lang w:val="pl-PL"/>
        </w:rPr>
      </w:pPr>
      <w:r w:rsidRPr="000C4938">
        <w:rPr>
          <w:b/>
          <w:lang w:val="pl-PL"/>
        </w:rPr>
        <w:t>Grant Thornton</w:t>
      </w:r>
      <w:r w:rsidRPr="000C4938">
        <w:rPr>
          <w:lang w:val="pl-PL"/>
        </w:rPr>
        <w:t xml:space="preserve"> to jedna z wiodących organizacji audytorsko-doradczych na świecie. Wiedza, doświad</w:t>
      </w:r>
      <w:r>
        <w:rPr>
          <w:lang w:val="pl-PL"/>
        </w:rPr>
        <w:t>czenie</w:t>
      </w:r>
      <w:r>
        <w:rPr>
          <w:lang w:val="pl-PL"/>
        </w:rPr>
        <w:br/>
        <w:t xml:space="preserve"> i zaangażowan</w:t>
      </w:r>
      <w:r w:rsidR="00DB5FA3">
        <w:rPr>
          <w:lang w:val="pl-PL"/>
        </w:rPr>
        <w:t>ie ponad 3 000 partnerów oraz 50</w:t>
      </w:r>
      <w:r w:rsidRPr="000C4938">
        <w:rPr>
          <w:lang w:val="pl-PL"/>
        </w:rPr>
        <w:t xml:space="preserve"> 000 pracowników Grant Thornton dost</w:t>
      </w:r>
      <w:r w:rsidR="00DB5FA3">
        <w:rPr>
          <w:lang w:val="pl-PL"/>
        </w:rPr>
        <w:t>ępne są dla klientów w ponad 136</w:t>
      </w:r>
      <w:r w:rsidRPr="000C4938">
        <w:rPr>
          <w:lang w:val="pl-PL"/>
        </w:rPr>
        <w:t xml:space="preserve"> </w:t>
      </w:r>
      <w:r w:rsidR="00DB5FA3">
        <w:rPr>
          <w:lang w:val="pl-PL"/>
        </w:rPr>
        <w:t>krajach. W Polsce działamy od 25 lat, a 550</w:t>
      </w:r>
      <w:r w:rsidRPr="000C4938">
        <w:rPr>
          <w:lang w:val="pl-PL"/>
        </w:rPr>
        <w:t xml:space="preserve"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klienta. Klienci firmy to ponad 1000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5" w:history="1">
        <w:r w:rsidRPr="000C4938">
          <w:rPr>
            <w:rStyle w:val="Hipercze"/>
            <w:lang w:val="pl-PL"/>
          </w:rPr>
          <w:t>www.grantthornton.pl</w:t>
        </w:r>
      </w:hyperlink>
      <w:r w:rsidRPr="000C4938">
        <w:rPr>
          <w:lang w:val="pl-PL"/>
        </w:rPr>
        <w:t xml:space="preserve"> </w:t>
      </w:r>
    </w:p>
    <w:p w:rsidR="007A5040" w:rsidRPr="000C4938" w:rsidRDefault="007A5040" w:rsidP="007A5040">
      <w:pPr>
        <w:pStyle w:val="Tekstpodstawowy"/>
        <w:rPr>
          <w:u w:val="single"/>
          <w:lang w:val="pl-PL"/>
        </w:rPr>
      </w:pPr>
      <w:r w:rsidRPr="000C4938">
        <w:rPr>
          <w:b/>
          <w:lang w:val="pl-PL"/>
        </w:rPr>
        <w:t>Grant Thornton International Ltd</w:t>
      </w:r>
      <w:r w:rsidRPr="000C4938">
        <w:rPr>
          <w:lang w:val="pl-PL"/>
        </w:rPr>
        <w:t xml:space="preserve">. (GTI) jest jedną z wiodących światowych organizacji, zrzeszającą firmy księgowe </w:t>
      </w:r>
      <w:r>
        <w:rPr>
          <w:lang w:val="pl-PL"/>
        </w:rPr>
        <w:br/>
      </w:r>
      <w:r w:rsidRPr="000C4938">
        <w:rPr>
          <w:lang w:val="pl-PL"/>
        </w:rPr>
        <w:t xml:space="preserve">i doradcze, oferujące usługi poświadczające, doradztwa podatkowego, a także udzielające specjalistycznych porad dla przedsiębiorców prywatnych i jednostek interesu publicznego. Więcej informacji na </w:t>
      </w:r>
      <w:hyperlink r:id="rId16" w:history="1">
        <w:r w:rsidRPr="000C4938">
          <w:rPr>
            <w:rStyle w:val="Hipercze"/>
            <w:lang w:val="pl-PL"/>
          </w:rPr>
          <w:t>www.gti.org</w:t>
        </w:r>
      </w:hyperlink>
    </w:p>
    <w:p w:rsidR="007A5040" w:rsidRPr="00AC2F10" w:rsidRDefault="007A5040" w:rsidP="007A5040">
      <w:pPr>
        <w:pStyle w:val="Tekstpodstawowy"/>
        <w:rPr>
          <w:lang w:val="pl-PL"/>
        </w:rPr>
      </w:pPr>
    </w:p>
    <w:p w:rsidR="00E50D26" w:rsidRPr="001A7C86" w:rsidRDefault="00E50D26" w:rsidP="001A7C86"/>
    <w:sectPr w:rsidR="00E50D26" w:rsidRPr="001A7C86" w:rsidSect="00E50D26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2269" w:right="890" w:bottom="1276" w:left="890" w:header="680" w:footer="4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EF" w:rsidRDefault="00B764EF">
      <w:r>
        <w:separator/>
      </w:r>
    </w:p>
  </w:endnote>
  <w:endnote w:type="continuationSeparator" w:id="0">
    <w:p w:rsidR="00B764EF" w:rsidRDefault="00B7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T Walsheim Pro Light">
    <w:panose1 w:val="02000503040000020003"/>
    <w:charset w:val="EE"/>
    <w:family w:val="auto"/>
    <w:pitch w:val="variable"/>
    <w:sig w:usb0="A00002AF" w:usb1="5000206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Pr="00C14BA6" w:rsidRDefault="00C14BA6" w:rsidP="00C14BA6">
    <w:pPr>
      <w:pStyle w:val="Stopka"/>
      <w:rPr>
        <w:b/>
      </w:rPr>
    </w:pPr>
  </w:p>
  <w:p w:rsidR="00C14BA6" w:rsidRDefault="00C14BA6" w:rsidP="00E67B14">
    <w:pPr>
      <w:tabs>
        <w:tab w:val="right" w:pos="8636"/>
      </w:tabs>
      <w:spacing w:after="0" w:line="240" w:lineRule="auto"/>
      <w:rPr>
        <w:rFonts w:cstheme="minorHAnsi"/>
        <w:color w:val="747678" w:themeColor="background2"/>
        <w:sz w:val="12"/>
        <w:szCs w:val="16"/>
        <w:lang w:val="pl-PL"/>
      </w:rPr>
    </w:pPr>
    <w:r w:rsidRPr="00C14BA6">
      <w:rPr>
        <w:rFonts w:cstheme="minorHAnsi"/>
        <w:color w:val="747678" w:themeColor="background2"/>
        <w:sz w:val="12"/>
        <w:szCs w:val="16"/>
        <w:lang w:val="pl-PL"/>
      </w:rPr>
      <w:t xml:space="preserve">© Grant Thornton. </w:t>
    </w:r>
    <w:r w:rsidRPr="00C14BA6">
      <w:rPr>
        <w:rFonts w:cstheme="minorHAnsi"/>
        <w:noProof/>
        <w:color w:val="747678" w:themeColor="background2"/>
        <w:sz w:val="12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5E7D709" wp14:editId="6A31584C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1508400" cy="0"/>
              <wp:effectExtent l="0" t="0" r="15875" b="19050"/>
              <wp:wrapNone/>
              <wp:docPr id="5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2D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BDDA56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5.65pt" to="118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" strokecolor="#4f2d7f" strokeweight="1.5pt">
              <w10:wrap anchorx="margin"/>
              <w10:anchorlock/>
            </v:line>
          </w:pict>
        </mc:Fallback>
      </mc:AlternateContent>
    </w:r>
    <w:r>
      <w:rPr>
        <w:rFonts w:cstheme="minorHAnsi"/>
        <w:color w:val="747678" w:themeColor="background2"/>
        <w:sz w:val="12"/>
        <w:szCs w:val="16"/>
        <w:lang w:val="pl-PL"/>
      </w:rPr>
      <w:t>Wszystkie prawa zastrzeżone</w:t>
    </w:r>
  </w:p>
  <w:p w:rsidR="00C14BA6" w:rsidRPr="00C14BA6" w:rsidRDefault="00C14BA6" w:rsidP="00C14BA6">
    <w:pPr>
      <w:tabs>
        <w:tab w:val="right" w:pos="8636"/>
      </w:tabs>
      <w:spacing w:after="0" w:line="240" w:lineRule="auto"/>
      <w:jc w:val="right"/>
      <w:rPr>
        <w:rFonts w:ascii="Arial" w:hAnsi="Arial" w:cstheme="minorHAnsi"/>
        <w:color w:val="747678" w:themeColor="background2"/>
        <w:sz w:val="13"/>
        <w:szCs w:val="1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Default="00C14BA6" w:rsidP="00887334">
    <w:pPr>
      <w:pStyle w:val="Nagwek"/>
    </w:pPr>
  </w:p>
  <w:p w:rsidR="00C14BA6" w:rsidRPr="00C14BA6" w:rsidRDefault="00C14BA6" w:rsidP="0083039F">
    <w:pPr>
      <w:pStyle w:val="Stopka"/>
      <w:jc w:val="left"/>
      <w:rPr>
        <w:b/>
        <w:sz w:val="4"/>
      </w:rPr>
    </w:pPr>
    <w:r w:rsidRPr="00D96ED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2EF53151" wp14:editId="0F71CC84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1508125" cy="0"/>
              <wp:effectExtent l="0" t="0" r="15875" b="19050"/>
              <wp:wrapNone/>
              <wp:docPr id="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1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2D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A52096" id="Straight Connector 2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5.65pt" to="118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" strokecolor="#4f2d7f" strokeweight="1.5pt">
              <w10:wrap anchorx="margin"/>
              <w10:anchorlock/>
            </v:line>
          </w:pict>
        </mc:Fallback>
      </mc:AlternateContent>
    </w:r>
    <w:proofErr w:type="spellStart"/>
    <w:r w:rsidRPr="007A5040">
      <w:rPr>
        <w:b/>
      </w:rPr>
      <w:t>Audyt</w:t>
    </w:r>
    <w:proofErr w:type="spellEnd"/>
    <w:r w:rsidRPr="00C14BA6">
      <w:rPr>
        <w:b/>
      </w:rPr>
      <w:t xml:space="preserve"> – </w:t>
    </w:r>
    <w:proofErr w:type="spellStart"/>
    <w:r w:rsidRPr="007A5040">
      <w:rPr>
        <w:b/>
      </w:rPr>
      <w:t>Podatki</w:t>
    </w:r>
    <w:proofErr w:type="spellEnd"/>
    <w:r w:rsidRPr="00C14BA6">
      <w:rPr>
        <w:b/>
      </w:rPr>
      <w:t xml:space="preserve"> – Outsourcing – </w:t>
    </w:r>
    <w:r w:rsidRPr="007A5040">
      <w:rPr>
        <w:b/>
      </w:rPr>
      <w:t>Doradztwo</w:t>
    </w:r>
  </w:p>
  <w:p w:rsidR="00C14BA6" w:rsidRPr="001A7C86" w:rsidRDefault="00C14BA6" w:rsidP="00A41E8A">
    <w:pPr>
      <w:pStyle w:val="Stopka"/>
      <w:jc w:val="left"/>
    </w:pPr>
    <w:r w:rsidRPr="001A7C86">
      <w:t>Member of Grant Thornton International Ltd</w:t>
    </w:r>
  </w:p>
  <w:p w:rsidR="00C14BA6" w:rsidRPr="00C14BA6" w:rsidRDefault="00C14BA6" w:rsidP="0083039F">
    <w:pPr>
      <w:pStyle w:val="LetterFooter"/>
      <w:rPr>
        <w:rFonts w:asciiTheme="minorHAnsi" w:hAnsiTheme="minorHAnsi" w:cstheme="minorHAnsi"/>
      </w:rPr>
    </w:pPr>
  </w:p>
  <w:p w:rsidR="00C14BA6" w:rsidRPr="00A41E8A" w:rsidRDefault="00C14BA6" w:rsidP="0083039F">
    <w:pPr>
      <w:pStyle w:val="Stopka"/>
      <w:jc w:val="left"/>
      <w:rPr>
        <w:b/>
        <w:lang w:val="pl-PL"/>
      </w:rPr>
    </w:pPr>
    <w:r w:rsidRPr="00A41E8A">
      <w:rPr>
        <w:b/>
        <w:lang w:val="pl-PL"/>
      </w:rPr>
      <w:t xml:space="preserve">Grant Thornton Frąckowiak spółka z ograniczoną odpowiedzialnością sp. k. </w:t>
    </w:r>
    <w:r w:rsidR="002F0C85">
      <w:rPr>
        <w:b/>
        <w:lang w:val="pl-PL"/>
      </w:rPr>
      <w:t>firma audytorska</w:t>
    </w:r>
    <w:r w:rsidRPr="00A41E8A">
      <w:rPr>
        <w:b/>
        <w:lang w:val="pl-PL"/>
      </w:rPr>
      <w:t xml:space="preserve"> nr 3654. </w:t>
    </w:r>
    <w:r w:rsidRPr="00A41E8A">
      <w:rPr>
        <w:b/>
        <w:lang w:val="pl-PL"/>
      </w:rPr>
      <w:br/>
      <w:t xml:space="preserve">Komplementariusz: Grant Thornton Frąckowiak sp. z o.o. Zarząd komplementariusza: </w:t>
    </w:r>
    <w:r w:rsidR="00887334">
      <w:rPr>
        <w:b/>
        <w:lang w:val="pl-PL"/>
      </w:rPr>
      <w:t>Tomasz Wróblewski</w:t>
    </w:r>
    <w:r w:rsidRPr="00A41E8A">
      <w:rPr>
        <w:b/>
        <w:lang w:val="pl-PL"/>
      </w:rPr>
      <w:t xml:space="preserve"> – Prezes Zarządu, </w:t>
    </w:r>
    <w:r w:rsidR="00B904FE">
      <w:rPr>
        <w:b/>
        <w:lang w:val="pl-PL"/>
      </w:rPr>
      <w:t>Dariusz Be</w:t>
    </w:r>
    <w:r w:rsidR="00887334">
      <w:rPr>
        <w:b/>
        <w:lang w:val="pl-PL"/>
      </w:rPr>
      <w:t>d</w:t>
    </w:r>
    <w:r w:rsidR="00B904FE">
      <w:rPr>
        <w:b/>
        <w:lang w:val="pl-PL"/>
      </w:rPr>
      <w:t>n</w:t>
    </w:r>
    <w:r w:rsidR="00887334">
      <w:rPr>
        <w:b/>
        <w:lang w:val="pl-PL"/>
      </w:rPr>
      <w:t xml:space="preserve">arski </w:t>
    </w:r>
    <w:r w:rsidR="00B904FE">
      <w:rPr>
        <w:b/>
        <w:lang w:val="pl-PL"/>
      </w:rPr>
      <w:t xml:space="preserve"> – Wiceprezes Zarządu, </w:t>
    </w:r>
    <w:r w:rsidR="00E67B14">
      <w:rPr>
        <w:b/>
        <w:lang w:val="pl-PL"/>
      </w:rPr>
      <w:br/>
    </w:r>
    <w:r w:rsidR="00B904FE">
      <w:rPr>
        <w:b/>
        <w:lang w:val="pl-PL"/>
      </w:rPr>
      <w:t xml:space="preserve">Jan Letkiewicz </w:t>
    </w:r>
    <w:r w:rsidR="00B904FE" w:rsidRPr="00A41E8A">
      <w:rPr>
        <w:b/>
        <w:lang w:val="pl-PL"/>
      </w:rPr>
      <w:t xml:space="preserve"> – Wiceprezes Zarządu. </w:t>
    </w:r>
    <w:r w:rsidRPr="00A41E8A">
      <w:rPr>
        <w:b/>
        <w:lang w:val="pl-PL"/>
      </w:rPr>
      <w:t xml:space="preserve"> </w:t>
    </w:r>
    <w:r w:rsidRPr="00A41E8A">
      <w:rPr>
        <w:b/>
        <w:lang w:val="pl-PL"/>
      </w:rPr>
      <w:br/>
      <w:t xml:space="preserve">Adres siedziby: 61-131 Poznań, ul. Abpa Antoniego Baraniaka 88 E. NIP: 778-14-76-013, REGON: 301591100. Rachunek bankowy: </w:t>
    </w:r>
    <w:r w:rsidR="005663FE" w:rsidRPr="005663FE">
      <w:rPr>
        <w:b/>
        <w:lang w:val="pl-PL"/>
      </w:rPr>
      <w:t>05 1090 1359 0000 0001 1915 7406</w:t>
    </w:r>
    <w:r w:rsidRPr="00A41E8A">
      <w:rPr>
        <w:b/>
        <w:lang w:val="pl-PL"/>
      </w:rPr>
      <w:t xml:space="preserve">. </w:t>
    </w:r>
    <w:r w:rsidRPr="00A41E8A">
      <w:rPr>
        <w:b/>
        <w:lang w:val="pl-PL"/>
      </w:rPr>
      <w:br/>
      <w:t>Sąd Rejonowy Poznań – Nowe Miasto i Wilda w Poznaniu, VIII Wydział Gospodarczy, nr KRS 0000369868.</w:t>
    </w:r>
  </w:p>
  <w:p w:rsidR="00C14BA6" w:rsidRPr="007A5040" w:rsidRDefault="00C14BA6">
    <w:pPr>
      <w:pStyle w:val="Stopka"/>
      <w:rPr>
        <w:b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EF" w:rsidRDefault="00B764EF">
      <w:r>
        <w:separator/>
      </w:r>
    </w:p>
  </w:footnote>
  <w:footnote w:type="continuationSeparator" w:id="0">
    <w:p w:rsidR="00B764EF" w:rsidRDefault="00B7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Default="00C14BA6">
    <w:pPr>
      <w:pStyle w:val="Nagwek"/>
    </w:pPr>
    <w:bookmarkStart w:id="1" w:name="Cover_tbl"/>
    <w:r>
      <w:rPr>
        <w:noProof/>
        <w:lang w:val="pl-PL" w:eastAsia="pl-PL"/>
      </w:rPr>
      <w:drawing>
        <wp:inline distT="0" distB="0" distL="0" distR="0" wp14:anchorId="5DBEA7F3" wp14:editId="763E0F8F">
          <wp:extent cx="2036068" cy="627889"/>
          <wp:effectExtent l="0" t="0" r="2540" b="1270"/>
          <wp:docPr id="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Default="00C14BA6">
    <w:pPr>
      <w:pStyle w:val="Nagwek"/>
    </w:pPr>
    <w:r>
      <w:rPr>
        <w:noProof/>
        <w:lang w:val="pl-PL" w:eastAsia="pl-PL"/>
      </w:rPr>
      <w:drawing>
        <wp:inline distT="0" distB="0" distL="0" distR="0" wp14:anchorId="02154842" wp14:editId="0581CDFE">
          <wp:extent cx="2036068" cy="627889"/>
          <wp:effectExtent l="0" t="0" r="2540" b="1270"/>
          <wp:docPr id="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D663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6255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832BE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77C0F8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BA976CF"/>
    <w:multiLevelType w:val="multilevel"/>
    <w:tmpl w:val="98FC98AC"/>
    <w:numStyleLink w:val="GTListNumber"/>
  </w:abstractNum>
  <w:abstractNum w:abstractNumId="11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5DDB5E6E"/>
    <w:multiLevelType w:val="multilevel"/>
    <w:tmpl w:val="CE6E0156"/>
    <w:numStyleLink w:val="GTListBullet"/>
  </w:abstractNum>
  <w:abstractNum w:abstractNumId="13" w15:restartNumberingAfterBreak="0">
    <w:nsid w:val="61BC3D3D"/>
    <w:multiLevelType w:val="multilevel"/>
    <w:tmpl w:val="CE6E015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7F924C95"/>
    <w:multiLevelType w:val="multilevel"/>
    <w:tmpl w:val="0D561ACA"/>
    <w:numStyleLink w:val="GTNumberedHeadings"/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8"/>
  </w:num>
  <w:num w:numId="15">
    <w:abstractNumId w:val="14"/>
  </w:num>
  <w:num w:numId="16">
    <w:abstractNumId w:val="10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2NDe3NDI2NbYwMjBR0lEKTi0uzszPAykwqQUA3E9oUywAAAA="/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7A5040"/>
    <w:rsid w:val="00013749"/>
    <w:rsid w:val="0001412C"/>
    <w:rsid w:val="00047137"/>
    <w:rsid w:val="00050414"/>
    <w:rsid w:val="00060EC9"/>
    <w:rsid w:val="00067FBE"/>
    <w:rsid w:val="0007363B"/>
    <w:rsid w:val="0007494B"/>
    <w:rsid w:val="00075825"/>
    <w:rsid w:val="0007794F"/>
    <w:rsid w:val="000A2985"/>
    <w:rsid w:val="000A4DFB"/>
    <w:rsid w:val="000A5471"/>
    <w:rsid w:val="000B2B17"/>
    <w:rsid w:val="000D61DD"/>
    <w:rsid w:val="000D7C10"/>
    <w:rsid w:val="000E4C3C"/>
    <w:rsid w:val="00104641"/>
    <w:rsid w:val="001327E5"/>
    <w:rsid w:val="001347BC"/>
    <w:rsid w:val="001366D0"/>
    <w:rsid w:val="00143EB2"/>
    <w:rsid w:val="00151C5A"/>
    <w:rsid w:val="001547A7"/>
    <w:rsid w:val="001558F7"/>
    <w:rsid w:val="0015731C"/>
    <w:rsid w:val="00160746"/>
    <w:rsid w:val="00167CAC"/>
    <w:rsid w:val="0017467E"/>
    <w:rsid w:val="00181F25"/>
    <w:rsid w:val="0018286E"/>
    <w:rsid w:val="00187A66"/>
    <w:rsid w:val="00192CE7"/>
    <w:rsid w:val="00197471"/>
    <w:rsid w:val="0019793F"/>
    <w:rsid w:val="001A7C86"/>
    <w:rsid w:val="001B485F"/>
    <w:rsid w:val="001B6557"/>
    <w:rsid w:val="001C6783"/>
    <w:rsid w:val="001D0FE0"/>
    <w:rsid w:val="001D5D48"/>
    <w:rsid w:val="001E7FFB"/>
    <w:rsid w:val="001F10E0"/>
    <w:rsid w:val="001F1AF0"/>
    <w:rsid w:val="001F60FC"/>
    <w:rsid w:val="00205F8C"/>
    <w:rsid w:val="00211F40"/>
    <w:rsid w:val="0021621D"/>
    <w:rsid w:val="00223C38"/>
    <w:rsid w:val="00232894"/>
    <w:rsid w:val="00237BD1"/>
    <w:rsid w:val="00240935"/>
    <w:rsid w:val="0025205B"/>
    <w:rsid w:val="00254B3A"/>
    <w:rsid w:val="002578FF"/>
    <w:rsid w:val="00262326"/>
    <w:rsid w:val="0026290B"/>
    <w:rsid w:val="00263263"/>
    <w:rsid w:val="00273DB9"/>
    <w:rsid w:val="002D2DC5"/>
    <w:rsid w:val="002E2B91"/>
    <w:rsid w:val="002F0C85"/>
    <w:rsid w:val="002F0D72"/>
    <w:rsid w:val="002F1925"/>
    <w:rsid w:val="002F2027"/>
    <w:rsid w:val="003004FA"/>
    <w:rsid w:val="00300833"/>
    <w:rsid w:val="0030218D"/>
    <w:rsid w:val="003151A5"/>
    <w:rsid w:val="00320CF8"/>
    <w:rsid w:val="003462D8"/>
    <w:rsid w:val="003552AB"/>
    <w:rsid w:val="00355E7D"/>
    <w:rsid w:val="00364323"/>
    <w:rsid w:val="003704CE"/>
    <w:rsid w:val="003720FC"/>
    <w:rsid w:val="003762FC"/>
    <w:rsid w:val="00387F2F"/>
    <w:rsid w:val="00390019"/>
    <w:rsid w:val="00390DED"/>
    <w:rsid w:val="003B550A"/>
    <w:rsid w:val="003B5657"/>
    <w:rsid w:val="003C13F1"/>
    <w:rsid w:val="003D6ABF"/>
    <w:rsid w:val="00400DFB"/>
    <w:rsid w:val="00401CB2"/>
    <w:rsid w:val="00407FBE"/>
    <w:rsid w:val="00415BFD"/>
    <w:rsid w:val="00425244"/>
    <w:rsid w:val="0043260D"/>
    <w:rsid w:val="00435EA1"/>
    <w:rsid w:val="00441D97"/>
    <w:rsid w:val="00462B97"/>
    <w:rsid w:val="00471150"/>
    <w:rsid w:val="00476FEE"/>
    <w:rsid w:val="00481F79"/>
    <w:rsid w:val="004939BE"/>
    <w:rsid w:val="004952F5"/>
    <w:rsid w:val="004A652A"/>
    <w:rsid w:val="004A7137"/>
    <w:rsid w:val="004C10AD"/>
    <w:rsid w:val="004C1FE9"/>
    <w:rsid w:val="004C5370"/>
    <w:rsid w:val="004D1EB2"/>
    <w:rsid w:val="004D5F86"/>
    <w:rsid w:val="004E3A82"/>
    <w:rsid w:val="004E5F46"/>
    <w:rsid w:val="004F6078"/>
    <w:rsid w:val="00502087"/>
    <w:rsid w:val="00502217"/>
    <w:rsid w:val="0050322F"/>
    <w:rsid w:val="00513853"/>
    <w:rsid w:val="0051765E"/>
    <w:rsid w:val="00520717"/>
    <w:rsid w:val="00520B31"/>
    <w:rsid w:val="0052705B"/>
    <w:rsid w:val="00543A03"/>
    <w:rsid w:val="00553170"/>
    <w:rsid w:val="005663FE"/>
    <w:rsid w:val="00572072"/>
    <w:rsid w:val="00576254"/>
    <w:rsid w:val="005773A1"/>
    <w:rsid w:val="00585D4B"/>
    <w:rsid w:val="005A066F"/>
    <w:rsid w:val="005B1EAB"/>
    <w:rsid w:val="005B65D4"/>
    <w:rsid w:val="005B7A11"/>
    <w:rsid w:val="005C1C5A"/>
    <w:rsid w:val="005C23C4"/>
    <w:rsid w:val="005C2C73"/>
    <w:rsid w:val="005C6CDE"/>
    <w:rsid w:val="005D2417"/>
    <w:rsid w:val="005E25CB"/>
    <w:rsid w:val="005E6FCA"/>
    <w:rsid w:val="005F7C6B"/>
    <w:rsid w:val="00617718"/>
    <w:rsid w:val="006311B1"/>
    <w:rsid w:val="00634500"/>
    <w:rsid w:val="00640481"/>
    <w:rsid w:val="0064317C"/>
    <w:rsid w:val="00643F48"/>
    <w:rsid w:val="0065033C"/>
    <w:rsid w:val="006633DC"/>
    <w:rsid w:val="006667B7"/>
    <w:rsid w:val="006805D5"/>
    <w:rsid w:val="006806FD"/>
    <w:rsid w:val="006909F2"/>
    <w:rsid w:val="00695694"/>
    <w:rsid w:val="006C286D"/>
    <w:rsid w:val="006C3454"/>
    <w:rsid w:val="006D3122"/>
    <w:rsid w:val="006D4904"/>
    <w:rsid w:val="006D70B5"/>
    <w:rsid w:val="006E3473"/>
    <w:rsid w:val="006E7DF0"/>
    <w:rsid w:val="006F6F69"/>
    <w:rsid w:val="00714D8F"/>
    <w:rsid w:val="00715888"/>
    <w:rsid w:val="007170B2"/>
    <w:rsid w:val="00721A36"/>
    <w:rsid w:val="00733C42"/>
    <w:rsid w:val="00743216"/>
    <w:rsid w:val="007501AA"/>
    <w:rsid w:val="00757103"/>
    <w:rsid w:val="007639D8"/>
    <w:rsid w:val="00775A42"/>
    <w:rsid w:val="00776338"/>
    <w:rsid w:val="00786789"/>
    <w:rsid w:val="007A3144"/>
    <w:rsid w:val="007A44D1"/>
    <w:rsid w:val="007A5040"/>
    <w:rsid w:val="007B1BB2"/>
    <w:rsid w:val="007B3A33"/>
    <w:rsid w:val="007B67FC"/>
    <w:rsid w:val="007D0128"/>
    <w:rsid w:val="007D0274"/>
    <w:rsid w:val="007D28B8"/>
    <w:rsid w:val="007D5956"/>
    <w:rsid w:val="007F4D9A"/>
    <w:rsid w:val="007F58F4"/>
    <w:rsid w:val="008012A2"/>
    <w:rsid w:val="00801676"/>
    <w:rsid w:val="00815CCE"/>
    <w:rsid w:val="00816EEF"/>
    <w:rsid w:val="008204EB"/>
    <w:rsid w:val="0083039F"/>
    <w:rsid w:val="00837726"/>
    <w:rsid w:val="00840490"/>
    <w:rsid w:val="008404BE"/>
    <w:rsid w:val="00854F3E"/>
    <w:rsid w:val="008645CA"/>
    <w:rsid w:val="008645E8"/>
    <w:rsid w:val="008750D6"/>
    <w:rsid w:val="008830CE"/>
    <w:rsid w:val="00887334"/>
    <w:rsid w:val="0089338D"/>
    <w:rsid w:val="00893520"/>
    <w:rsid w:val="00893B08"/>
    <w:rsid w:val="00895CF7"/>
    <w:rsid w:val="008A1CD0"/>
    <w:rsid w:val="008A5EEE"/>
    <w:rsid w:val="008B2749"/>
    <w:rsid w:val="008C4D0D"/>
    <w:rsid w:val="008D3A88"/>
    <w:rsid w:val="008E3B80"/>
    <w:rsid w:val="008F7583"/>
    <w:rsid w:val="009066CE"/>
    <w:rsid w:val="00907933"/>
    <w:rsid w:val="00911A06"/>
    <w:rsid w:val="00921B25"/>
    <w:rsid w:val="00923A87"/>
    <w:rsid w:val="00924017"/>
    <w:rsid w:val="0093057B"/>
    <w:rsid w:val="009433FC"/>
    <w:rsid w:val="00947FA4"/>
    <w:rsid w:val="00952FCA"/>
    <w:rsid w:val="00956405"/>
    <w:rsid w:val="009623AD"/>
    <w:rsid w:val="00966490"/>
    <w:rsid w:val="009826CB"/>
    <w:rsid w:val="00990285"/>
    <w:rsid w:val="00994A39"/>
    <w:rsid w:val="00994ECE"/>
    <w:rsid w:val="009A0405"/>
    <w:rsid w:val="009A5CCB"/>
    <w:rsid w:val="009A722E"/>
    <w:rsid w:val="009B7E3F"/>
    <w:rsid w:val="009C3FA4"/>
    <w:rsid w:val="009E53E7"/>
    <w:rsid w:val="009E6A78"/>
    <w:rsid w:val="009F30C4"/>
    <w:rsid w:val="009F5EF5"/>
    <w:rsid w:val="009F7EC2"/>
    <w:rsid w:val="00A17DF9"/>
    <w:rsid w:val="00A41E8A"/>
    <w:rsid w:val="00A4316A"/>
    <w:rsid w:val="00A45B6F"/>
    <w:rsid w:val="00A51555"/>
    <w:rsid w:val="00A53C7B"/>
    <w:rsid w:val="00A54401"/>
    <w:rsid w:val="00A73FF9"/>
    <w:rsid w:val="00A8074C"/>
    <w:rsid w:val="00AA3C3B"/>
    <w:rsid w:val="00AD076E"/>
    <w:rsid w:val="00AD07B3"/>
    <w:rsid w:val="00AD46BC"/>
    <w:rsid w:val="00AD47ED"/>
    <w:rsid w:val="00AE4B96"/>
    <w:rsid w:val="00AF220D"/>
    <w:rsid w:val="00AF2F43"/>
    <w:rsid w:val="00B00927"/>
    <w:rsid w:val="00B04BC4"/>
    <w:rsid w:val="00B1118C"/>
    <w:rsid w:val="00B3098B"/>
    <w:rsid w:val="00B30B06"/>
    <w:rsid w:val="00B32719"/>
    <w:rsid w:val="00B50EC3"/>
    <w:rsid w:val="00B51315"/>
    <w:rsid w:val="00B57ADB"/>
    <w:rsid w:val="00B72023"/>
    <w:rsid w:val="00B764EF"/>
    <w:rsid w:val="00B7721E"/>
    <w:rsid w:val="00B828CE"/>
    <w:rsid w:val="00B8501D"/>
    <w:rsid w:val="00B86408"/>
    <w:rsid w:val="00B904FE"/>
    <w:rsid w:val="00B93D83"/>
    <w:rsid w:val="00B95C52"/>
    <w:rsid w:val="00B975A1"/>
    <w:rsid w:val="00BB4622"/>
    <w:rsid w:val="00BB5787"/>
    <w:rsid w:val="00BC002E"/>
    <w:rsid w:val="00BD4D0B"/>
    <w:rsid w:val="00BE06BE"/>
    <w:rsid w:val="00BE2AF3"/>
    <w:rsid w:val="00BE7717"/>
    <w:rsid w:val="00BF5AC3"/>
    <w:rsid w:val="00C1089A"/>
    <w:rsid w:val="00C13A94"/>
    <w:rsid w:val="00C14BA6"/>
    <w:rsid w:val="00C15857"/>
    <w:rsid w:val="00C31F78"/>
    <w:rsid w:val="00C34649"/>
    <w:rsid w:val="00C40A43"/>
    <w:rsid w:val="00C42A61"/>
    <w:rsid w:val="00C4637C"/>
    <w:rsid w:val="00C476A1"/>
    <w:rsid w:val="00C655EE"/>
    <w:rsid w:val="00C70BCF"/>
    <w:rsid w:val="00C7575E"/>
    <w:rsid w:val="00C757E6"/>
    <w:rsid w:val="00C77D03"/>
    <w:rsid w:val="00C80390"/>
    <w:rsid w:val="00C9044B"/>
    <w:rsid w:val="00C94ED7"/>
    <w:rsid w:val="00CA7B49"/>
    <w:rsid w:val="00CB29C3"/>
    <w:rsid w:val="00CB3FF7"/>
    <w:rsid w:val="00CB4D27"/>
    <w:rsid w:val="00CB6C00"/>
    <w:rsid w:val="00CC2C31"/>
    <w:rsid w:val="00CD0668"/>
    <w:rsid w:val="00CD0945"/>
    <w:rsid w:val="00CD1174"/>
    <w:rsid w:val="00CD2293"/>
    <w:rsid w:val="00CD2462"/>
    <w:rsid w:val="00CD4E39"/>
    <w:rsid w:val="00CD55D0"/>
    <w:rsid w:val="00CD7DC9"/>
    <w:rsid w:val="00CE58E1"/>
    <w:rsid w:val="00CF2550"/>
    <w:rsid w:val="00CF4BA0"/>
    <w:rsid w:val="00D03287"/>
    <w:rsid w:val="00D21A0E"/>
    <w:rsid w:val="00D276A2"/>
    <w:rsid w:val="00D40003"/>
    <w:rsid w:val="00D47D0B"/>
    <w:rsid w:val="00D53953"/>
    <w:rsid w:val="00D61AD0"/>
    <w:rsid w:val="00D63DA3"/>
    <w:rsid w:val="00D64E0E"/>
    <w:rsid w:val="00D65105"/>
    <w:rsid w:val="00D7394A"/>
    <w:rsid w:val="00D91835"/>
    <w:rsid w:val="00D93691"/>
    <w:rsid w:val="00D9608F"/>
    <w:rsid w:val="00DB5FA3"/>
    <w:rsid w:val="00DC10F4"/>
    <w:rsid w:val="00DD1D27"/>
    <w:rsid w:val="00DD1DB7"/>
    <w:rsid w:val="00DE0967"/>
    <w:rsid w:val="00DE4E2E"/>
    <w:rsid w:val="00DE6FA4"/>
    <w:rsid w:val="00DF0D56"/>
    <w:rsid w:val="00DF6F8B"/>
    <w:rsid w:val="00DF7158"/>
    <w:rsid w:val="00E14093"/>
    <w:rsid w:val="00E23FAF"/>
    <w:rsid w:val="00E27915"/>
    <w:rsid w:val="00E30934"/>
    <w:rsid w:val="00E50D26"/>
    <w:rsid w:val="00E54014"/>
    <w:rsid w:val="00E547B4"/>
    <w:rsid w:val="00E67B14"/>
    <w:rsid w:val="00E74E1F"/>
    <w:rsid w:val="00E80CAC"/>
    <w:rsid w:val="00E9189D"/>
    <w:rsid w:val="00E95DDB"/>
    <w:rsid w:val="00EA0AD9"/>
    <w:rsid w:val="00EA6719"/>
    <w:rsid w:val="00EB4DDA"/>
    <w:rsid w:val="00EB57D0"/>
    <w:rsid w:val="00EB640F"/>
    <w:rsid w:val="00EC470D"/>
    <w:rsid w:val="00ED6EFF"/>
    <w:rsid w:val="00ED7503"/>
    <w:rsid w:val="00EF265F"/>
    <w:rsid w:val="00F02456"/>
    <w:rsid w:val="00F05979"/>
    <w:rsid w:val="00F10E4E"/>
    <w:rsid w:val="00F14981"/>
    <w:rsid w:val="00F340C4"/>
    <w:rsid w:val="00F469D3"/>
    <w:rsid w:val="00F567A9"/>
    <w:rsid w:val="00F57864"/>
    <w:rsid w:val="00F62BF3"/>
    <w:rsid w:val="00F65A78"/>
    <w:rsid w:val="00F707A6"/>
    <w:rsid w:val="00F721CC"/>
    <w:rsid w:val="00F77E6C"/>
    <w:rsid w:val="00F81766"/>
    <w:rsid w:val="00F82369"/>
    <w:rsid w:val="00F8316C"/>
    <w:rsid w:val="00F8639A"/>
    <w:rsid w:val="00F959A7"/>
    <w:rsid w:val="00FA0071"/>
    <w:rsid w:val="00FA0F35"/>
    <w:rsid w:val="00FB0930"/>
    <w:rsid w:val="00FC1E0B"/>
    <w:rsid w:val="00FE59D4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909C1"/>
  <w15:docId w15:val="{685C5C73-D1B6-4D83-A929-5E1D0898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7A5040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5731C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15731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5731C"/>
    <w:pPr>
      <w:outlineLvl w:val="3"/>
    </w:pPr>
    <w:rPr>
      <w:b w:val="0"/>
      <w:bCs w:val="0"/>
      <w:sz w:val="18"/>
    </w:rPr>
  </w:style>
  <w:style w:type="paragraph" w:styleId="Nagwek5">
    <w:name w:val="heading 5"/>
    <w:basedOn w:val="Normalny"/>
    <w:next w:val="Normalny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B04BC4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15731C"/>
  </w:style>
  <w:style w:type="paragraph" w:styleId="Listapunktowana">
    <w:name w:val="List Bullet"/>
    <w:basedOn w:val="Normalny"/>
    <w:link w:val="ListapunktowanaZnak"/>
    <w:uiPriority w:val="1"/>
    <w:qFormat/>
    <w:rsid w:val="00364323"/>
    <w:pPr>
      <w:numPr>
        <w:numId w:val="17"/>
      </w:numPr>
    </w:pPr>
    <w:rPr>
      <w:lang w:val="pl-PL"/>
    </w:rPr>
  </w:style>
  <w:style w:type="paragraph" w:styleId="Listanumerowana">
    <w:name w:val="List Number"/>
    <w:basedOn w:val="Normalny"/>
    <w:uiPriority w:val="1"/>
    <w:qFormat/>
    <w:rsid w:val="0021621D"/>
    <w:pPr>
      <w:numPr>
        <w:numId w:val="16"/>
      </w:numPr>
    </w:pPr>
    <w:rPr>
      <w:lang w:val="pl-PL"/>
    </w:rPr>
  </w:style>
  <w:style w:type="paragraph" w:styleId="Nagwek">
    <w:name w:val="header"/>
    <w:semiHidden/>
    <w:rsid w:val="00B04BC4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</w:rPr>
  </w:style>
  <w:style w:type="paragraph" w:styleId="Stopka">
    <w:name w:val="footer"/>
    <w:link w:val="StopkaZnak"/>
    <w:uiPriority w:val="9"/>
    <w:semiHidden/>
    <w:rsid w:val="000D61DD"/>
    <w:pPr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omylnaczcionkaakapitu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ny"/>
    <w:next w:val="Tekstpodstawowy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ytu">
    <w:name w:val="Title"/>
    <w:basedOn w:val="Normalny"/>
    <w:next w:val="Tekstpodstawowy"/>
    <w:uiPriority w:val="1"/>
    <w:qFormat/>
    <w:rsid w:val="0021621D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  <w:lang w:val="pl-PL"/>
    </w:rPr>
  </w:style>
  <w:style w:type="paragraph" w:styleId="Podtytu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</w:rPr>
  </w:style>
  <w:style w:type="paragraph" w:styleId="Listapunktowana2">
    <w:name w:val="List Bullet 2"/>
    <w:basedOn w:val="Normalny"/>
    <w:uiPriority w:val="1"/>
    <w:qFormat/>
    <w:rsid w:val="00364323"/>
    <w:pPr>
      <w:numPr>
        <w:ilvl w:val="1"/>
        <w:numId w:val="17"/>
      </w:numPr>
    </w:pPr>
  </w:style>
  <w:style w:type="paragraph" w:styleId="Listanumerowana2">
    <w:name w:val="List Number 2"/>
    <w:basedOn w:val="Normalny"/>
    <w:uiPriority w:val="1"/>
    <w:qFormat/>
    <w:rsid w:val="0021621D"/>
    <w:pPr>
      <w:numPr>
        <w:ilvl w:val="1"/>
        <w:numId w:val="16"/>
      </w:numPr>
    </w:pPr>
    <w:rPr>
      <w:lang w:val="pl-PL"/>
    </w:rPr>
  </w:style>
  <w:style w:type="paragraph" w:styleId="Listanumerowana3">
    <w:name w:val="List Number 3"/>
    <w:basedOn w:val="Normalny"/>
    <w:uiPriority w:val="1"/>
    <w:qFormat/>
    <w:rsid w:val="0021621D"/>
    <w:pPr>
      <w:numPr>
        <w:ilvl w:val="2"/>
        <w:numId w:val="16"/>
      </w:numPr>
    </w:pPr>
    <w:rPr>
      <w:lang w:val="pl-PL"/>
    </w:rPr>
  </w:style>
  <w:style w:type="paragraph" w:customStyle="1" w:styleId="MarginNotes">
    <w:name w:val="Margin Notes"/>
    <w:semiHidden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Tekstpodstawowy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364323"/>
    <w:pPr>
      <w:spacing w:before="60" w:after="60"/>
    </w:pPr>
    <w:rPr>
      <w:rFonts w:asciiTheme="minorHAnsi" w:hAnsiTheme="minorHAnsi" w:cs="Arial"/>
      <w:b/>
      <w:bCs/>
      <w:kern w:val="28"/>
      <w:sz w:val="16"/>
      <w:szCs w:val="32"/>
      <w:lang w:val="pl-PL"/>
    </w:rPr>
  </w:style>
  <w:style w:type="paragraph" w:customStyle="1" w:styleId="TableText">
    <w:name w:val="Table Text"/>
    <w:uiPriority w:val="2"/>
    <w:qFormat/>
    <w:rsid w:val="00364323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Spistreci1">
    <w:name w:val="toc 1"/>
    <w:next w:val="Normalny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</w:rPr>
  </w:style>
  <w:style w:type="paragraph" w:styleId="Spistreci2">
    <w:name w:val="toc 2"/>
    <w:next w:val="Normalny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</w:rPr>
  </w:style>
  <w:style w:type="paragraph" w:styleId="Spistreci3">
    <w:name w:val="toc 3"/>
    <w:basedOn w:val="Spistreci2"/>
    <w:next w:val="Normalny"/>
    <w:semiHidden/>
    <w:rsid w:val="00B04BC4"/>
    <w:pPr>
      <w:ind w:left="403"/>
    </w:pPr>
  </w:style>
  <w:style w:type="paragraph" w:customStyle="1" w:styleId="Contents">
    <w:name w:val="Contents"/>
    <w:next w:val="Normalny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Numerstrony">
    <w:name w:val="page number"/>
    <w:basedOn w:val="Domylnaczcionkaakapitu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Podtytu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B04BC4"/>
    <w:rPr>
      <w:color w:val="auto"/>
    </w:rPr>
  </w:style>
  <w:style w:type="character" w:styleId="Hipercze">
    <w:name w:val="Hyperlink"/>
    <w:basedOn w:val="Domylnaczcionkaakapitu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Tekstpodstawowy"/>
    <w:uiPriority w:val="3"/>
    <w:qFormat/>
    <w:rsid w:val="0021621D"/>
    <w:pPr>
      <w:numPr>
        <w:numId w:val="15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pl-PL"/>
    </w:rPr>
  </w:style>
  <w:style w:type="paragraph" w:customStyle="1" w:styleId="NumberedHeading2">
    <w:name w:val="Numbered Heading 2"/>
    <w:next w:val="Tekstpodstawowy"/>
    <w:uiPriority w:val="3"/>
    <w:qFormat/>
    <w:rsid w:val="0021621D"/>
    <w:pPr>
      <w:numPr>
        <w:ilvl w:val="1"/>
        <w:numId w:val="15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pl-PL"/>
    </w:rPr>
  </w:style>
  <w:style w:type="table" w:styleId="Tabela-Siatka">
    <w:name w:val="Table Grid"/>
    <w:basedOn w:val="Standardowy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B04BC4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B04BC4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Cytat">
    <w:name w:val="Quote"/>
    <w:basedOn w:val="Tekstpodstawowy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Tekstmakra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"/>
    <w:semiHidden/>
    <w:rsid w:val="00B04BC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Standardowy"/>
    <w:uiPriority w:val="99"/>
    <w:rsid w:val="005C23C4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podstawowyZnak">
    <w:name w:val="Tekst podstawowy Znak"/>
    <w:basedOn w:val="Domylnaczcionkaakapitu"/>
    <w:link w:val="Tekstpodstawowy"/>
    <w:rsid w:val="0015731C"/>
    <w:rPr>
      <w:rFonts w:asciiTheme="minorHAnsi" w:hAnsiTheme="minorHAnsi" w:cs="Arial"/>
      <w:sz w:val="18"/>
    </w:rPr>
  </w:style>
  <w:style w:type="numbering" w:customStyle="1" w:styleId="GTListBullet">
    <w:name w:val="GT List Bullet"/>
    <w:uiPriority w:val="99"/>
    <w:rsid w:val="008C4D0D"/>
    <w:pPr>
      <w:numPr>
        <w:numId w:val="1"/>
      </w:numPr>
    </w:pPr>
  </w:style>
  <w:style w:type="numbering" w:customStyle="1" w:styleId="GTListNumber">
    <w:name w:val="GT List Number"/>
    <w:uiPriority w:val="99"/>
    <w:rsid w:val="008C4D0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Bezodstpw">
    <w:name w:val="No Spacing"/>
    <w:uiPriority w:val="1"/>
    <w:semiHidden/>
    <w:rsid w:val="00B04BC4"/>
    <w:rPr>
      <w:rFonts w:asciiTheme="minorHAnsi" w:hAnsiTheme="minorHAnsi" w:cs="Arial"/>
      <w:sz w:val="18"/>
    </w:rPr>
  </w:style>
  <w:style w:type="paragraph" w:styleId="Zwykytekst">
    <w:name w:val="Plain Text"/>
    <w:basedOn w:val="Normalny"/>
    <w:link w:val="ZwykytekstZnak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Spistreci4">
    <w:name w:val="toc 4"/>
    <w:basedOn w:val="Normalny"/>
    <w:next w:val="Normalny"/>
    <w:autoRedefine/>
    <w:semiHidden/>
    <w:rsid w:val="00B04BC4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B04BC4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B04BC4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B04BC4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B04BC4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Tekstpodstawowy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15731C"/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rsid w:val="0015731C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Nagwek4Znak">
    <w:name w:val="Nagłówek 4 Znak"/>
    <w:basedOn w:val="Domylnaczcionkaakapitu"/>
    <w:link w:val="Nagwek4"/>
    <w:rsid w:val="0015731C"/>
    <w:rPr>
      <w:rFonts w:asciiTheme="minorHAnsi" w:hAnsiTheme="minorHAnsi" w:cstheme="minorHAnsi"/>
      <w:color w:val="4F2D7F" w:themeColor="accent1"/>
      <w:kern w:val="32"/>
      <w:sz w:val="18"/>
      <w:szCs w:val="18"/>
    </w:rPr>
  </w:style>
  <w:style w:type="paragraph" w:customStyle="1" w:styleId="LandscapeFooter">
    <w:name w:val="Landscape Footer"/>
    <w:basedOn w:val="Stopka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ny"/>
    <w:next w:val="Tekstpodstawowy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C286D"/>
  </w:style>
  <w:style w:type="paragraph" w:styleId="Tekstblokowy">
    <w:name w:val="Block Text"/>
    <w:basedOn w:val="Normalny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6C286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6C28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6C286D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86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C286D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286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Tytuksiki">
    <w:name w:val="Book Title"/>
    <w:basedOn w:val="Domylnaczcionkaakapitu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Legenda">
    <w:name w:val="caption"/>
    <w:basedOn w:val="Normalny"/>
    <w:next w:val="Normalny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6C286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6C286D"/>
    <w:rPr>
      <w:rFonts w:asciiTheme="minorHAnsi" w:hAnsiTheme="minorHAnsi" w:cs="Arial"/>
      <w:sz w:val="18"/>
      <w:lang w:val="en-US"/>
    </w:rPr>
  </w:style>
  <w:style w:type="table" w:styleId="Kolorowasiatka">
    <w:name w:val="Colorful Grid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6C286D"/>
    <w:rPr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semiHidden/>
    <w:unhideWhenUsed/>
    <w:rsid w:val="006C28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286D"/>
    <w:rPr>
      <w:rFonts w:asciiTheme="minorHAnsi" w:hAnsiTheme="minorHAnsi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2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286D"/>
    <w:rPr>
      <w:rFonts w:asciiTheme="minorHAnsi" w:hAnsiTheme="minorHAnsi" w:cs="Arial"/>
      <w:b/>
      <w:bCs/>
      <w:lang w:val="en-US"/>
    </w:rPr>
  </w:style>
  <w:style w:type="table" w:styleId="Ciemnalista">
    <w:name w:val="Dark List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6C286D"/>
  </w:style>
  <w:style w:type="character" w:customStyle="1" w:styleId="DataZnak">
    <w:name w:val="Data Znak"/>
    <w:basedOn w:val="Domylnaczcionkaakapitu"/>
    <w:link w:val="Data"/>
    <w:semiHidden/>
    <w:rsid w:val="006C286D"/>
    <w:rPr>
      <w:rFonts w:asciiTheme="minorHAnsi" w:hAnsiTheme="minorHAnsi" w:cs="Arial"/>
      <w:sz w:val="18"/>
      <w:lang w:val="en-US"/>
    </w:rPr>
  </w:style>
  <w:style w:type="paragraph" w:styleId="Mapadokumentu">
    <w:name w:val="Document Map"/>
    <w:basedOn w:val="Normalny"/>
    <w:link w:val="MapadokumentuZnak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Podpise-mail">
    <w:name w:val="E-mail Signature"/>
    <w:basedOn w:val="Normalny"/>
    <w:link w:val="Podpise-mailZnak"/>
    <w:semiHidden/>
    <w:unhideWhenUsed/>
    <w:rsid w:val="006C286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6C286D"/>
    <w:rPr>
      <w:rFonts w:asciiTheme="minorHAnsi" w:hAnsiTheme="minorHAnsi" w:cs="Arial"/>
      <w:sz w:val="18"/>
      <w:lang w:val="en-US"/>
    </w:rPr>
  </w:style>
  <w:style w:type="character" w:styleId="Uwydatnienie">
    <w:name w:val="Emphasis"/>
    <w:basedOn w:val="Domylnaczcionkaakapitu"/>
    <w:uiPriority w:val="9"/>
    <w:semiHidden/>
    <w:unhideWhenUsed/>
    <w:rsid w:val="006C286D"/>
    <w:rPr>
      <w:i/>
      <w:iCs/>
      <w:lang w:val="en-US"/>
    </w:rPr>
  </w:style>
  <w:style w:type="character" w:styleId="Odwoanieprzypisukocowego">
    <w:name w:val="endnote reference"/>
    <w:basedOn w:val="Domylnaczcionkaakapitu"/>
    <w:semiHidden/>
    <w:unhideWhenUsed/>
    <w:rsid w:val="006C286D"/>
    <w:rPr>
      <w:vertAlign w:val="superscript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286D"/>
    <w:rPr>
      <w:rFonts w:asciiTheme="minorHAnsi" w:hAnsiTheme="minorHAnsi" w:cs="Arial"/>
      <w:lang w:val="en-US"/>
    </w:rPr>
  </w:style>
  <w:style w:type="paragraph" w:styleId="Adresnakopercie">
    <w:name w:val="envelope address"/>
    <w:basedOn w:val="Normalny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Odwoanieprzypisudolnego">
    <w:name w:val="footnote reference"/>
    <w:basedOn w:val="Domylnaczcionkaakapitu"/>
    <w:semiHidden/>
    <w:rsid w:val="006C286D"/>
    <w:rPr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C286D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286D"/>
    <w:rPr>
      <w:rFonts w:asciiTheme="minorHAnsi" w:hAnsiTheme="minorHAnsi" w:cs="Arial"/>
      <w:lang w:val="en-US"/>
    </w:rPr>
  </w:style>
  <w:style w:type="table" w:customStyle="1" w:styleId="Tabelasiatki1jasna1">
    <w:name w:val="Tabela siatki 1 — jasna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-akronim">
    <w:name w:val="HTML Acronym"/>
    <w:basedOn w:val="Domylnaczcionkaakapitu"/>
    <w:semiHidden/>
    <w:unhideWhenUsed/>
    <w:rsid w:val="006C286D"/>
    <w:rPr>
      <w:lang w:val="en-US"/>
    </w:rPr>
  </w:style>
  <w:style w:type="paragraph" w:styleId="HTML-adres">
    <w:name w:val="HTML Address"/>
    <w:basedOn w:val="Normalny"/>
    <w:link w:val="HTML-adresZnak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-cytat">
    <w:name w:val="HTML Cite"/>
    <w:basedOn w:val="Domylnaczcionkaakapitu"/>
    <w:semiHidden/>
    <w:unhideWhenUsed/>
    <w:rsid w:val="006C286D"/>
    <w:rPr>
      <w:i/>
      <w:iCs/>
      <w:lang w:val="en-US"/>
    </w:rPr>
  </w:style>
  <w:style w:type="character" w:styleId="HTML-kod">
    <w:name w:val="HTML Code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definicja">
    <w:name w:val="HTML Definition"/>
    <w:basedOn w:val="Domylnaczcionkaakapitu"/>
    <w:semiHidden/>
    <w:unhideWhenUsed/>
    <w:rsid w:val="006C286D"/>
    <w:rPr>
      <w:i/>
      <w:iCs/>
      <w:lang w:val="en-US"/>
    </w:rPr>
  </w:style>
  <w:style w:type="character" w:styleId="HTML-klawiatura">
    <w:name w:val="HTML Keyboard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86D"/>
    <w:rPr>
      <w:rFonts w:ascii="Consolas" w:hAnsi="Consolas" w:cs="Arial"/>
      <w:lang w:val="en-US"/>
    </w:rPr>
  </w:style>
  <w:style w:type="character" w:styleId="HTML-przykad">
    <w:name w:val="HTML Sample"/>
    <w:basedOn w:val="Domylnaczcionkaakapitu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-staaszeroko">
    <w:name w:val="HTML Typewriter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zmienna">
    <w:name w:val="HTML Variable"/>
    <w:basedOn w:val="Domylnaczcionkaakapitu"/>
    <w:semiHidden/>
    <w:unhideWhenUsed/>
    <w:rsid w:val="006C286D"/>
    <w:rPr>
      <w:i/>
      <w:iCs/>
      <w:lang w:val="en-US"/>
    </w:rPr>
  </w:style>
  <w:style w:type="paragraph" w:styleId="Indeks1">
    <w:name w:val="index 1"/>
    <w:basedOn w:val="Normalny"/>
    <w:next w:val="Normalny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Odwoanieintensywne">
    <w:name w:val="Intense Reference"/>
    <w:basedOn w:val="Domylnaczcionkaakapitu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Jasnasiatka">
    <w:name w:val="Light Grid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6C286D"/>
    <w:rPr>
      <w:lang w:val="en-US"/>
    </w:rPr>
  </w:style>
  <w:style w:type="paragraph" w:styleId="Lista">
    <w:name w:val="List"/>
    <w:basedOn w:val="Normalny"/>
    <w:semiHidden/>
    <w:unhideWhenUsed/>
    <w:rsid w:val="006C286D"/>
    <w:pPr>
      <w:ind w:left="283" w:hanging="283"/>
      <w:contextualSpacing/>
    </w:pPr>
  </w:style>
  <w:style w:type="paragraph" w:styleId="Lista2">
    <w:name w:val="List 2"/>
    <w:basedOn w:val="Normalny"/>
    <w:semiHidden/>
    <w:rsid w:val="006C286D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6C286D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6C286D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6C286D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364323"/>
    <w:pPr>
      <w:numPr>
        <w:ilvl w:val="2"/>
        <w:numId w:val="17"/>
      </w:numPr>
      <w:contextualSpacing/>
    </w:pPr>
    <w:rPr>
      <w:lang w:val="pl-PL"/>
    </w:rPr>
  </w:style>
  <w:style w:type="paragraph" w:styleId="Listapunktowana4">
    <w:name w:val="List Bullet 4"/>
    <w:basedOn w:val="Normalny"/>
    <w:semiHidden/>
    <w:unhideWhenUsed/>
    <w:rsid w:val="006C286D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6C286D"/>
    <w:pPr>
      <w:numPr>
        <w:numId w:val="8"/>
      </w:numPr>
      <w:contextualSpacing/>
    </w:pPr>
  </w:style>
  <w:style w:type="paragraph" w:styleId="Lista-kontynuacja">
    <w:name w:val="List Continue"/>
    <w:basedOn w:val="Normalny"/>
    <w:semiHidden/>
    <w:unhideWhenUsed/>
    <w:rsid w:val="006C286D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6C286D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6C286D"/>
    <w:pPr>
      <w:ind w:left="849"/>
      <w:contextualSpacing/>
    </w:pPr>
  </w:style>
  <w:style w:type="paragraph" w:styleId="Lista-kontynuacja4">
    <w:name w:val="List Continue 4"/>
    <w:basedOn w:val="Normalny"/>
    <w:semiHidden/>
    <w:rsid w:val="006C286D"/>
    <w:pPr>
      <w:ind w:left="1132"/>
      <w:contextualSpacing/>
    </w:pPr>
  </w:style>
  <w:style w:type="paragraph" w:styleId="Lista-kontynuacja5">
    <w:name w:val="List Continue 5"/>
    <w:basedOn w:val="Normalny"/>
    <w:semiHidden/>
    <w:rsid w:val="006C286D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6C286D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6C286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6C286D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Nagwekwiadomoci">
    <w:name w:val="Message Header"/>
    <w:basedOn w:val="Normalny"/>
    <w:link w:val="NagwekwiadomociZnak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6C286D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6C286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6C286D"/>
    <w:rPr>
      <w:rFonts w:asciiTheme="minorHAnsi" w:hAnsiTheme="minorHAnsi" w:cs="Arial"/>
      <w:sz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6C286D"/>
    <w:rPr>
      <w:color w:val="808080"/>
      <w:lang w:val="en-US"/>
    </w:rPr>
  </w:style>
  <w:style w:type="table" w:customStyle="1" w:styleId="Zwykatabela11">
    <w:name w:val="Zwykła tabela 11"/>
    <w:basedOn w:val="Standardowy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C286D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6C286D"/>
    <w:rPr>
      <w:rFonts w:asciiTheme="minorHAnsi" w:hAnsiTheme="minorHAnsi" w:cs="Arial"/>
      <w:sz w:val="18"/>
      <w:lang w:val="en-US"/>
    </w:rPr>
  </w:style>
  <w:style w:type="paragraph" w:styleId="Podpis">
    <w:name w:val="Signature"/>
    <w:basedOn w:val="Normalny"/>
    <w:link w:val="PodpisZnak"/>
    <w:semiHidden/>
    <w:unhideWhenUsed/>
    <w:rsid w:val="006C286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6C286D"/>
    <w:rPr>
      <w:u w:val="dotted"/>
      <w:lang w:val="en-US"/>
    </w:rPr>
  </w:style>
  <w:style w:type="character" w:styleId="Pogrubienie">
    <w:name w:val="Strong"/>
    <w:basedOn w:val="Domylnaczcionkaakapitu"/>
    <w:unhideWhenUsed/>
    <w:rsid w:val="006C286D"/>
    <w:rPr>
      <w:b/>
      <w:bCs/>
      <w:lang w:val="en-US"/>
    </w:rPr>
  </w:style>
  <w:style w:type="character" w:styleId="Wyrnieniedelikatne">
    <w:name w:val="Subtle Emphasis"/>
    <w:basedOn w:val="Domylnaczcionkaakapitu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Odwoaniedelikatne">
    <w:name w:val="Subtle Reference"/>
    <w:basedOn w:val="Domylnaczcionkaakapitu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ela-Efekty3W1">
    <w:name w:val="Table 3D effects 1"/>
    <w:basedOn w:val="Standardowy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6C286D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6C286D"/>
    <w:pPr>
      <w:spacing w:after="0"/>
    </w:pPr>
  </w:style>
  <w:style w:type="table" w:styleId="Tabela-Profesjonalny">
    <w:name w:val="Table Professional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1"/>
      </w:numPr>
    </w:pPr>
  </w:style>
  <w:style w:type="numbering" w:customStyle="1" w:styleId="GTTableNumbers">
    <w:name w:val="GT Table Numbers"/>
    <w:uiPriority w:val="99"/>
    <w:rsid w:val="008C4D0D"/>
    <w:pPr>
      <w:numPr>
        <w:numId w:val="12"/>
      </w:numPr>
    </w:pPr>
  </w:style>
  <w:style w:type="paragraph" w:customStyle="1" w:styleId="TableBullet1">
    <w:name w:val="Table Bullet 1"/>
    <w:basedOn w:val="Listapunktowana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8C4D0D"/>
    <w:pPr>
      <w:numPr>
        <w:numId w:val="14"/>
      </w:numPr>
      <w:spacing w:before="60" w:after="60"/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1621D"/>
    <w:rPr>
      <w:rFonts w:asciiTheme="minorHAnsi" w:hAnsiTheme="minorHAnsi" w:cs="Arial"/>
      <w:sz w:val="18"/>
      <w:lang w:val="pl-PL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Tekstpodstawowy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Tekstpodstawowywciciepodnumerowanie1">
    <w:name w:val="Tekst podstawowy wcięcie pod numerowanie 1"/>
    <w:basedOn w:val="Tekstpodstawowy"/>
    <w:link w:val="Tekstpodstawowywciciepodnumerowanie1Znak"/>
    <w:uiPriority w:val="9"/>
    <w:qFormat/>
    <w:rsid w:val="002F1925"/>
    <w:pPr>
      <w:ind w:left="284"/>
    </w:pPr>
    <w:rPr>
      <w:lang w:val="pl-PL"/>
    </w:rPr>
  </w:style>
  <w:style w:type="character" w:customStyle="1" w:styleId="Tekstpodstawowywciciepodnumerowanie1Znak">
    <w:name w:val="Tekst podstawowy wcięcie pod numerowanie 1 Znak"/>
    <w:basedOn w:val="TekstpodstawowyZnak"/>
    <w:link w:val="Tekstpodstawowywciciepodnumerowanie1"/>
    <w:uiPriority w:val="9"/>
    <w:rsid w:val="002F1925"/>
    <w:rPr>
      <w:rFonts w:asciiTheme="minorHAnsi" w:hAnsiTheme="minorHAnsi" w:cs="Arial"/>
      <w:sz w:val="18"/>
      <w:lang w:val="pl-PL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C14BA6"/>
    <w:rPr>
      <w:rFonts w:asciiTheme="minorHAnsi" w:hAnsiTheme="minorHAnsi" w:cstheme="minorHAnsi"/>
      <w:color w:val="747678" w:themeColor="background2"/>
      <w:sz w:val="12"/>
      <w:szCs w:val="16"/>
    </w:rPr>
  </w:style>
  <w:style w:type="paragraph" w:customStyle="1" w:styleId="Tekstpodstawowywciciepodnumerowaniea">
    <w:name w:val="Tekst podstawowy wcięcie pod numerowanie a"/>
    <w:basedOn w:val="Tekstpodstawowywciciepodnumerowanie1"/>
    <w:link w:val="TekstpodstawowywciciepodnumerowanieaZnak"/>
    <w:uiPriority w:val="9"/>
    <w:qFormat/>
    <w:rsid w:val="00C13A94"/>
    <w:pPr>
      <w:ind w:left="567"/>
    </w:pPr>
  </w:style>
  <w:style w:type="character" w:customStyle="1" w:styleId="TekstpodstawowywciciepodnumerowanieaZnak">
    <w:name w:val="Tekst podstawowy wcięcie pod numerowanie a Znak"/>
    <w:basedOn w:val="Tekstpodstawowywciciepodnumerowanie1Znak"/>
    <w:link w:val="Tekstpodstawowywciciepodnumerowaniea"/>
    <w:uiPriority w:val="9"/>
    <w:rsid w:val="00C13A94"/>
    <w:rPr>
      <w:rFonts w:asciiTheme="minorHAnsi" w:hAnsiTheme="minorHAnsi" w:cs="Arial"/>
      <w:sz w:val="18"/>
      <w:lang w:val="pl-PL"/>
    </w:rPr>
  </w:style>
  <w:style w:type="paragraph" w:customStyle="1" w:styleId="PRTitle">
    <w:name w:val="PR Title"/>
    <w:basedOn w:val="Tytu"/>
    <w:next w:val="Tekstpodstawowy"/>
    <w:qFormat/>
    <w:rsid w:val="007A5040"/>
    <w:rPr>
      <w:lang w:val="en-GB"/>
    </w:rPr>
  </w:style>
  <w:style w:type="character" w:customStyle="1" w:styleId="Nagwek3Znak">
    <w:name w:val="Nagłówek 3 Znak"/>
    <w:basedOn w:val="Domylnaczcionkaakapitu"/>
    <w:link w:val="Nagwek3"/>
    <w:rsid w:val="007A5040"/>
    <w:rPr>
      <w:rFonts w:asciiTheme="minorHAnsi" w:hAnsiTheme="minorHAnsi" w:cstheme="minorHAnsi"/>
      <w:b/>
      <w:bCs/>
      <w:color w:val="4F2D7F" w:themeColor="accent1"/>
      <w:kern w:val="32"/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ti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yperlink" Target="http://www.grantthornton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rantThornton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598843953773545E-2"/>
          <c:y val="6.4799999999999996E-2"/>
          <c:w val="0.90138797905907475"/>
          <c:h val="0.80028578532946537"/>
        </c:manualLayout>
      </c:layout>
      <c:lineChart>
        <c:grouping val="standard"/>
        <c:varyColors val="0"/>
        <c:ser>
          <c:idx val="0"/>
          <c:order val="0"/>
          <c:tx>
            <c:strRef>
              <c:f>Arkusz1!$B$3</c:f>
              <c:strCache>
                <c:ptCount val="1"/>
                <c:pt idx="0">
                  <c:v>Odsetek firm planujących podwyżki (lewa oś)</c:v>
                </c:pt>
              </c:strCache>
            </c:strRef>
          </c:tx>
          <c:spPr>
            <a:ln w="28575" cap="rnd">
              <a:solidFill>
                <a:srgbClr val="4F2D7F"/>
              </a:solidFill>
              <a:round/>
            </a:ln>
            <a:effectLst/>
          </c:spPr>
          <c:marker>
            <c:symbol val="none"/>
          </c:marker>
          <c:cat>
            <c:strRef>
              <c:f>Arkusz1!$A$4:$A$32</c:f>
              <c:strCache>
                <c:ptCount val="29"/>
                <c:pt idx="0">
                  <c:v>1Q11</c:v>
                </c:pt>
                <c:pt idx="4">
                  <c:v>1Q12</c:v>
                </c:pt>
                <c:pt idx="8">
                  <c:v>1Q13</c:v>
                </c:pt>
                <c:pt idx="12">
                  <c:v>1Q14</c:v>
                </c:pt>
                <c:pt idx="16">
                  <c:v>1Q15</c:v>
                </c:pt>
                <c:pt idx="20">
                  <c:v>1Q16</c:v>
                </c:pt>
                <c:pt idx="24">
                  <c:v>1Q17</c:v>
                </c:pt>
                <c:pt idx="28">
                  <c:v>1Q18</c:v>
                </c:pt>
              </c:strCache>
            </c:strRef>
          </c:cat>
          <c:val>
            <c:numRef>
              <c:f>Arkusz1!$B$4:$B$32</c:f>
              <c:numCache>
                <c:formatCode>0</c:formatCode>
                <c:ptCount val="29"/>
                <c:pt idx="0" formatCode="General">
                  <c:v>18</c:v>
                </c:pt>
                <c:pt idx="1">
                  <c:v>32</c:v>
                </c:pt>
                <c:pt idx="2" formatCode="General">
                  <c:v>21.999999999999996</c:v>
                </c:pt>
                <c:pt idx="3" formatCode="General">
                  <c:v>28.000000000000004</c:v>
                </c:pt>
                <c:pt idx="4" formatCode="General">
                  <c:v>18</c:v>
                </c:pt>
                <c:pt idx="5" formatCode="General">
                  <c:v>30</c:v>
                </c:pt>
                <c:pt idx="6" formatCode="General">
                  <c:v>20</c:v>
                </c:pt>
                <c:pt idx="7" formatCode="General">
                  <c:v>12</c:v>
                </c:pt>
                <c:pt idx="8" formatCode="General">
                  <c:v>0</c:v>
                </c:pt>
                <c:pt idx="9" formatCode="General">
                  <c:v>10</c:v>
                </c:pt>
                <c:pt idx="10" formatCode="General">
                  <c:v>-4.0000000000000009</c:v>
                </c:pt>
                <c:pt idx="11" formatCode="General">
                  <c:v>6</c:v>
                </c:pt>
                <c:pt idx="12" formatCode="General">
                  <c:v>13.999999999999998</c:v>
                </c:pt>
                <c:pt idx="13" formatCode="General">
                  <c:v>12</c:v>
                </c:pt>
                <c:pt idx="14" formatCode="General">
                  <c:v>14</c:v>
                </c:pt>
                <c:pt idx="15" formatCode="General">
                  <c:v>0</c:v>
                </c:pt>
                <c:pt idx="16" formatCode="General">
                  <c:v>8</c:v>
                </c:pt>
                <c:pt idx="17" formatCode="General">
                  <c:v>-1.9999999999999991</c:v>
                </c:pt>
                <c:pt idx="18" formatCode="General">
                  <c:v>7.9999999999999991</c:v>
                </c:pt>
                <c:pt idx="19" formatCode="General">
                  <c:v>20</c:v>
                </c:pt>
                <c:pt idx="20" formatCode="General">
                  <c:v>20</c:v>
                </c:pt>
                <c:pt idx="21" formatCode="General">
                  <c:v>18</c:v>
                </c:pt>
                <c:pt idx="22" formatCode="General">
                  <c:v>4.0000000000000009</c:v>
                </c:pt>
                <c:pt idx="23" formatCode="General">
                  <c:v>10</c:v>
                </c:pt>
                <c:pt idx="24" formatCode="General">
                  <c:v>7.9999999999999991</c:v>
                </c:pt>
                <c:pt idx="25" formatCode="General">
                  <c:v>14.000000000000002</c:v>
                </c:pt>
                <c:pt idx="26" formatCode="General">
                  <c:v>36</c:v>
                </c:pt>
                <c:pt idx="27" formatCode="General">
                  <c:v>38</c:v>
                </c:pt>
                <c:pt idx="28" formatCode="General">
                  <c:v>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30-4A81-9DAC-44213BCCB0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084992"/>
        <c:axId val="110543232"/>
      </c:lineChart>
      <c:lineChart>
        <c:grouping val="standard"/>
        <c:varyColors val="0"/>
        <c:ser>
          <c:idx val="1"/>
          <c:order val="1"/>
          <c:tx>
            <c:strRef>
              <c:f>Arkusz1!$C$3</c:f>
              <c:strCache>
                <c:ptCount val="1"/>
                <c:pt idx="0">
                  <c:v>Inflacja (r/r, w proc.)</c:v>
                </c:pt>
              </c:strCache>
            </c:strRef>
          </c:tx>
          <c:spPr>
            <a:ln w="19050" cap="rnd">
              <a:solidFill>
                <a:srgbClr val="00A7B5"/>
              </a:solidFill>
              <a:round/>
            </a:ln>
            <a:effectLst/>
          </c:spPr>
          <c:marker>
            <c:symbol val="none"/>
          </c:marker>
          <c:cat>
            <c:strRef>
              <c:f>Arkusz1!$A$4:$A$32</c:f>
              <c:strCache>
                <c:ptCount val="29"/>
                <c:pt idx="0">
                  <c:v>1Q11</c:v>
                </c:pt>
                <c:pt idx="4">
                  <c:v>1Q12</c:v>
                </c:pt>
                <c:pt idx="8">
                  <c:v>1Q13</c:v>
                </c:pt>
                <c:pt idx="12">
                  <c:v>1Q14</c:v>
                </c:pt>
                <c:pt idx="16">
                  <c:v>1Q15</c:v>
                </c:pt>
                <c:pt idx="20">
                  <c:v>1Q16</c:v>
                </c:pt>
                <c:pt idx="24">
                  <c:v>1Q17</c:v>
                </c:pt>
                <c:pt idx="28">
                  <c:v>1Q18</c:v>
                </c:pt>
              </c:strCache>
            </c:strRef>
          </c:cat>
          <c:val>
            <c:numRef>
              <c:f>Arkusz1!$C$4:$C$32</c:f>
              <c:numCache>
                <c:formatCode>General</c:formatCode>
                <c:ptCount val="29"/>
                <c:pt idx="0">
                  <c:v>4.5999999999999943</c:v>
                </c:pt>
                <c:pt idx="1">
                  <c:v>4.0999999999999943</c:v>
                </c:pt>
                <c:pt idx="2">
                  <c:v>4.5999999999999943</c:v>
                </c:pt>
                <c:pt idx="3">
                  <c:v>3.7999999999999972</c:v>
                </c:pt>
                <c:pt idx="4">
                  <c:v>2.9000000000000057</c:v>
                </c:pt>
                <c:pt idx="5">
                  <c:v>3.9000000000000057</c:v>
                </c:pt>
                <c:pt idx="6">
                  <c:v>4</c:v>
                </c:pt>
                <c:pt idx="7">
                  <c:v>4.0999999999999943</c:v>
                </c:pt>
                <c:pt idx="8">
                  <c:v>0.70000000000000284</c:v>
                </c:pt>
                <c:pt idx="9">
                  <c:v>1.0999999999999943</c:v>
                </c:pt>
                <c:pt idx="10">
                  <c:v>0.5</c:v>
                </c:pt>
                <c:pt idx="11">
                  <c:v>1.2999999999999972</c:v>
                </c:pt>
                <c:pt idx="12">
                  <c:v>-0.70000000000000284</c:v>
                </c:pt>
                <c:pt idx="13">
                  <c:v>-0.29999999999999716</c:v>
                </c:pt>
                <c:pt idx="14">
                  <c:v>0.29999999999999716</c:v>
                </c:pt>
                <c:pt idx="15">
                  <c:v>0.59999999999999432</c:v>
                </c:pt>
                <c:pt idx="16">
                  <c:v>-0.59999999999999432</c:v>
                </c:pt>
                <c:pt idx="17">
                  <c:v>-0.70000000000000284</c:v>
                </c:pt>
                <c:pt idx="18">
                  <c:v>-0.90000000000000568</c:v>
                </c:pt>
                <c:pt idx="19">
                  <c:v>-1.5</c:v>
                </c:pt>
                <c:pt idx="20">
                  <c:v>0.20000000000000284</c:v>
                </c:pt>
                <c:pt idx="21">
                  <c:v>-0.79999999999999716</c:v>
                </c:pt>
                <c:pt idx="22">
                  <c:v>-0.90000000000000568</c:v>
                </c:pt>
                <c:pt idx="23">
                  <c:v>-0.90000000000000568</c:v>
                </c:pt>
                <c:pt idx="24">
                  <c:v>2.2000000000000028</c:v>
                </c:pt>
                <c:pt idx="25">
                  <c:v>1.9000000000000057</c:v>
                </c:pt>
                <c:pt idx="26">
                  <c:v>1.7999999999999972</c:v>
                </c:pt>
                <c:pt idx="27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30-4A81-9DAC-44213BCCB0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546304"/>
        <c:axId val="110544768"/>
      </c:lineChart>
      <c:catAx>
        <c:axId val="4208499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110543232"/>
        <c:crosses val="autoZero"/>
        <c:auto val="1"/>
        <c:lblAlgn val="ctr"/>
        <c:lblOffset val="100"/>
        <c:noMultiLvlLbl val="0"/>
      </c:catAx>
      <c:valAx>
        <c:axId val="110543232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noFill/>
          <a:ln>
            <a:solidFill>
              <a:srgbClr val="4F2D7F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42084992"/>
        <c:crosses val="autoZero"/>
        <c:crossBetween val="between"/>
      </c:valAx>
      <c:valAx>
        <c:axId val="110544768"/>
        <c:scaling>
          <c:orientation val="minMax"/>
          <c:max val="8"/>
          <c:min val="-3"/>
        </c:scaling>
        <c:delete val="0"/>
        <c:axPos val="r"/>
        <c:numFmt formatCode="General" sourceLinked="1"/>
        <c:majorTickMark val="in"/>
        <c:minorTickMark val="none"/>
        <c:tickLblPos val="nextTo"/>
        <c:spPr>
          <a:noFill/>
          <a:ln>
            <a:solidFill>
              <a:srgbClr val="00A7B5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110546304"/>
        <c:crosses val="max"/>
        <c:crossBetween val="between"/>
      </c:valAx>
      <c:catAx>
        <c:axId val="1105463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05447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018510311500192"/>
          <c:y val="0.79134929832918122"/>
          <c:w val="0.7457978739550386"/>
          <c:h val="0.18583700662764785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800" baseline="0">
          <a:latin typeface="+mj-lt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673503555077118E-2"/>
          <c:y val="2.5640385724101437E-2"/>
          <c:w val="0.84045429540770189"/>
          <c:h val="0.8803779039031403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4F2D7F"/>
              </a:solidFill>
              <a:round/>
            </a:ln>
            <a:effectLst/>
          </c:spPr>
          <c:marker>
            <c:symbol val="none"/>
          </c:marker>
          <c:cat>
            <c:strRef>
              <c:f>Arkusz1!$A$60:$A$84</c:f>
              <c:strCache>
                <c:ptCount val="25"/>
                <c:pt idx="0">
                  <c:v>1Q12</c:v>
                </c:pt>
                <c:pt idx="4">
                  <c:v>1Q13</c:v>
                </c:pt>
                <c:pt idx="8">
                  <c:v>1Q14</c:v>
                </c:pt>
                <c:pt idx="12">
                  <c:v>1Q15</c:v>
                </c:pt>
                <c:pt idx="16">
                  <c:v>1Q16</c:v>
                </c:pt>
                <c:pt idx="20">
                  <c:v>1Q17</c:v>
                </c:pt>
                <c:pt idx="24">
                  <c:v>1Q18</c:v>
                </c:pt>
              </c:strCache>
            </c:strRef>
          </c:cat>
          <c:val>
            <c:numRef>
              <c:f>Arkusz1!$B$60:$B$84</c:f>
              <c:numCache>
                <c:formatCode>General</c:formatCode>
                <c:ptCount val="25"/>
                <c:pt idx="0">
                  <c:v>12</c:v>
                </c:pt>
                <c:pt idx="1">
                  <c:v>20.000000000000004</c:v>
                </c:pt>
                <c:pt idx="2">
                  <c:v>28.000000000000004</c:v>
                </c:pt>
                <c:pt idx="3">
                  <c:v>4</c:v>
                </c:pt>
                <c:pt idx="4">
                  <c:v>14</c:v>
                </c:pt>
                <c:pt idx="5">
                  <c:v>30</c:v>
                </c:pt>
                <c:pt idx="6">
                  <c:v>26</c:v>
                </c:pt>
                <c:pt idx="7">
                  <c:v>36</c:v>
                </c:pt>
                <c:pt idx="8">
                  <c:v>18</c:v>
                </c:pt>
                <c:pt idx="9">
                  <c:v>32</c:v>
                </c:pt>
                <c:pt idx="10">
                  <c:v>30</c:v>
                </c:pt>
                <c:pt idx="11">
                  <c:v>31.999999999999996</c:v>
                </c:pt>
                <c:pt idx="12">
                  <c:v>26</c:v>
                </c:pt>
                <c:pt idx="13">
                  <c:v>24.000000000000004</c:v>
                </c:pt>
                <c:pt idx="14">
                  <c:v>38</c:v>
                </c:pt>
                <c:pt idx="15">
                  <c:v>42.000000000000007</c:v>
                </c:pt>
                <c:pt idx="16">
                  <c:v>42</c:v>
                </c:pt>
                <c:pt idx="17">
                  <c:v>34</c:v>
                </c:pt>
                <c:pt idx="18">
                  <c:v>22.000000000000004</c:v>
                </c:pt>
                <c:pt idx="19">
                  <c:v>31.999999999999996</c:v>
                </c:pt>
                <c:pt idx="20">
                  <c:v>18</c:v>
                </c:pt>
                <c:pt idx="21">
                  <c:v>20</c:v>
                </c:pt>
                <c:pt idx="22">
                  <c:v>26</c:v>
                </c:pt>
                <c:pt idx="23">
                  <c:v>46</c:v>
                </c:pt>
                <c:pt idx="24">
                  <c:v>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4F0-4A17-89FE-9C6A71DE91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177344"/>
        <c:axId val="157178880"/>
      </c:lineChart>
      <c:lineChart>
        <c:grouping val="standard"/>
        <c:varyColors val="0"/>
        <c:ser>
          <c:idx val="1"/>
          <c:order val="1"/>
          <c:spPr>
            <a:ln w="28575" cap="rnd">
              <a:solidFill>
                <a:srgbClr val="00A7B5"/>
              </a:solidFill>
              <a:round/>
            </a:ln>
            <a:effectLst/>
          </c:spPr>
          <c:marker>
            <c:symbol val="none"/>
          </c:marker>
          <c:cat>
            <c:strRef>
              <c:f>Arkusz1!$A$60:$A$84</c:f>
              <c:strCache>
                <c:ptCount val="25"/>
                <c:pt idx="0">
                  <c:v>1Q12</c:v>
                </c:pt>
                <c:pt idx="4">
                  <c:v>1Q13</c:v>
                </c:pt>
                <c:pt idx="8">
                  <c:v>1Q14</c:v>
                </c:pt>
                <c:pt idx="12">
                  <c:v>1Q15</c:v>
                </c:pt>
                <c:pt idx="16">
                  <c:v>1Q16</c:v>
                </c:pt>
                <c:pt idx="20">
                  <c:v>1Q17</c:v>
                </c:pt>
                <c:pt idx="24">
                  <c:v>1Q18</c:v>
                </c:pt>
              </c:strCache>
            </c:strRef>
          </c:cat>
          <c:val>
            <c:numRef>
              <c:f>Arkusz1!$C$60:$C$84</c:f>
              <c:numCache>
                <c:formatCode>General</c:formatCode>
                <c:ptCount val="25"/>
                <c:pt idx="0">
                  <c:v>50</c:v>
                </c:pt>
                <c:pt idx="1">
                  <c:v>44</c:v>
                </c:pt>
                <c:pt idx="2">
                  <c:v>30</c:v>
                </c:pt>
                <c:pt idx="3">
                  <c:v>42.000000000000007</c:v>
                </c:pt>
                <c:pt idx="4">
                  <c:v>46</c:v>
                </c:pt>
                <c:pt idx="5">
                  <c:v>30</c:v>
                </c:pt>
                <c:pt idx="6">
                  <c:v>34</c:v>
                </c:pt>
                <c:pt idx="7">
                  <c:v>40</c:v>
                </c:pt>
                <c:pt idx="8">
                  <c:v>34</c:v>
                </c:pt>
                <c:pt idx="9">
                  <c:v>34</c:v>
                </c:pt>
                <c:pt idx="10">
                  <c:v>44</c:v>
                </c:pt>
                <c:pt idx="11">
                  <c:v>38</c:v>
                </c:pt>
                <c:pt idx="12">
                  <c:v>34</c:v>
                </c:pt>
                <c:pt idx="13">
                  <c:v>32</c:v>
                </c:pt>
                <c:pt idx="14">
                  <c:v>36</c:v>
                </c:pt>
                <c:pt idx="15">
                  <c:v>28.000000000000004</c:v>
                </c:pt>
                <c:pt idx="16">
                  <c:v>30</c:v>
                </c:pt>
                <c:pt idx="17">
                  <c:v>26</c:v>
                </c:pt>
                <c:pt idx="18">
                  <c:v>34</c:v>
                </c:pt>
                <c:pt idx="19">
                  <c:v>32</c:v>
                </c:pt>
                <c:pt idx="20">
                  <c:v>28.000000000000004</c:v>
                </c:pt>
                <c:pt idx="21">
                  <c:v>42.000000000000007</c:v>
                </c:pt>
                <c:pt idx="22">
                  <c:v>42.000000000000007</c:v>
                </c:pt>
                <c:pt idx="23">
                  <c:v>26</c:v>
                </c:pt>
                <c:pt idx="24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4F0-4A17-89FE-9C6A71DE91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190400"/>
        <c:axId val="157188864"/>
      </c:lineChart>
      <c:catAx>
        <c:axId val="15717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57178880"/>
        <c:crosses val="autoZero"/>
        <c:auto val="1"/>
        <c:lblAlgn val="ctr"/>
        <c:lblOffset val="100"/>
        <c:noMultiLvlLbl val="0"/>
      </c:catAx>
      <c:valAx>
        <c:axId val="157178880"/>
        <c:scaling>
          <c:orientation val="minMax"/>
          <c:max val="50"/>
        </c:scaling>
        <c:delete val="0"/>
        <c:axPos val="l"/>
        <c:numFmt formatCode="General" sourceLinked="1"/>
        <c:majorTickMark val="in"/>
        <c:minorTickMark val="none"/>
        <c:tickLblPos val="nextTo"/>
        <c:spPr>
          <a:noFill/>
          <a:ln>
            <a:solidFill>
              <a:srgbClr val="C8BEAA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57177344"/>
        <c:crosses val="autoZero"/>
        <c:crossBetween val="between"/>
      </c:valAx>
      <c:valAx>
        <c:axId val="157188864"/>
        <c:scaling>
          <c:orientation val="minMax"/>
          <c:min val="15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57190400"/>
        <c:crosses val="max"/>
        <c:crossBetween val="between"/>
      </c:valAx>
      <c:catAx>
        <c:axId val="157190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7188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baseline="0">
          <a:latin typeface="GT Walsheim Pro Light" panose="02000503040000020003" pitchFamily="2" charset="-18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5A445-1811-4166-AE06-1B75DBAE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3540</Characters>
  <Application>Microsoft Office Word</Application>
  <DocSecurity>0</DocSecurity>
  <Lines>68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Drygas Piotr</dc:creator>
  <cp:lastModifiedBy>Kowalczyk Jacek</cp:lastModifiedBy>
  <cp:revision>5</cp:revision>
  <cp:lastPrinted>2007-08-23T16:47:00Z</cp:lastPrinted>
  <dcterms:created xsi:type="dcterms:W3CDTF">2018-04-03T09:01:00Z</dcterms:created>
  <dcterms:modified xsi:type="dcterms:W3CDTF">2018-04-04T11:01:00Z</dcterms:modified>
</cp:coreProperties>
</file>