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45" w:rsidRDefault="00F44045" w:rsidP="00F44045">
      <w:pPr>
        <w:spacing w:before="100" w:beforeAutospacing="1" w:after="100" w:afterAutospacing="1" w:line="240" w:lineRule="auto"/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</w:pPr>
    </w:p>
    <w:p w:rsidR="00F44045" w:rsidRPr="00F44045" w:rsidRDefault="00F44045" w:rsidP="00F44045">
      <w:pPr>
        <w:spacing w:before="100" w:beforeAutospacing="1" w:after="100" w:afterAutospacing="1" w:line="240" w:lineRule="auto"/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</w:pPr>
      <w:r w:rsidRPr="00F44045"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  <w:t xml:space="preserve">Obligacje </w:t>
      </w:r>
      <w:r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  <w:t>korporacyjne</w:t>
      </w:r>
      <w:r w:rsidRPr="00F44045"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  <w:t xml:space="preserve"> przyciągają inwestorów</w:t>
      </w:r>
    </w:p>
    <w:p w:rsidR="00F44045" w:rsidRDefault="00F44045" w:rsidP="007A5040">
      <w:pPr>
        <w:spacing w:before="100" w:beforeAutospacing="1" w:after="100" w:afterAutospacing="1" w:line="360" w:lineRule="auto"/>
        <w:rPr>
          <w:rFonts w:ascii="Arial" w:hAnsi="Arial"/>
          <w:b/>
          <w:color w:val="00B5A7"/>
          <w:lang w:val="pl-PL"/>
        </w:rPr>
      </w:pPr>
    </w:p>
    <w:p w:rsidR="007A5040" w:rsidRPr="00060EC9" w:rsidRDefault="007A5040" w:rsidP="007A5040">
      <w:pPr>
        <w:spacing w:before="100" w:beforeAutospacing="1" w:after="100" w:afterAutospacing="1" w:line="360" w:lineRule="auto"/>
        <w:rPr>
          <w:rFonts w:ascii="Arial" w:hAnsi="Arial"/>
          <w:b/>
          <w:color w:val="00B5A7"/>
          <w:lang w:val="pl-PL"/>
        </w:rPr>
      </w:pPr>
      <w:r w:rsidRPr="00060EC9">
        <w:rPr>
          <w:rFonts w:ascii="Arial" w:hAnsi="Arial"/>
          <w:b/>
          <w:color w:val="00B5A7"/>
          <w:lang w:val="pl-PL"/>
        </w:rPr>
        <w:t>Informacja prasowa</w:t>
      </w:r>
    </w:p>
    <w:p w:rsidR="007A5040" w:rsidRPr="00A93F45" w:rsidRDefault="00F44045" w:rsidP="007A5040">
      <w:pPr>
        <w:spacing w:before="100" w:beforeAutospacing="1" w:after="100" w:afterAutospacing="1"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18 czerwca</w:t>
      </w:r>
      <w:r w:rsidR="007A5040">
        <w:rPr>
          <w:rFonts w:ascii="Arial" w:hAnsi="Arial"/>
          <w:lang w:val="pl-PL"/>
        </w:rPr>
        <w:t xml:space="preserve"> </w:t>
      </w:r>
      <w:r w:rsidR="00743216">
        <w:rPr>
          <w:rFonts w:ascii="Arial" w:hAnsi="Arial"/>
          <w:lang w:val="pl-PL"/>
        </w:rPr>
        <w:t>2018</w:t>
      </w:r>
      <w:r w:rsidR="007A5040" w:rsidRPr="00912BF4">
        <w:rPr>
          <w:rFonts w:ascii="Arial" w:hAnsi="Arial"/>
          <w:lang w:val="pl-PL"/>
        </w:rPr>
        <w:t xml:space="preserve"> r.</w:t>
      </w:r>
    </w:p>
    <w:p w:rsidR="00C80390" w:rsidRDefault="00C80390" w:rsidP="007A5040">
      <w:pPr>
        <w:pStyle w:val="Nagwek1"/>
        <w:rPr>
          <w:lang w:val="pl-PL"/>
        </w:rPr>
      </w:pPr>
    </w:p>
    <w:p w:rsidR="001308F2" w:rsidRPr="001308F2" w:rsidRDefault="001308F2" w:rsidP="001308F2">
      <w:pPr>
        <w:pStyle w:val="Tekstpodstawowy"/>
        <w:rPr>
          <w:lang w:val="pl-PL"/>
        </w:rPr>
      </w:pPr>
    </w:p>
    <w:p w:rsidR="00F44045" w:rsidRPr="00F44045" w:rsidRDefault="00F44045" w:rsidP="00F44045">
      <w:pPr>
        <w:pStyle w:val="Tekstpodstawowy"/>
        <w:spacing w:line="240" w:lineRule="auto"/>
        <w:rPr>
          <w:rFonts w:asciiTheme="majorHAnsi" w:hAnsiTheme="majorHAnsi" w:cstheme="majorHAnsi"/>
          <w:bCs/>
          <w:color w:val="4F2D7F" w:themeColor="accent1"/>
          <w:kern w:val="32"/>
          <w:sz w:val="36"/>
          <w:szCs w:val="28"/>
          <w:lang w:val="pl-PL"/>
        </w:rPr>
      </w:pPr>
      <w:proofErr w:type="spellStart"/>
      <w:r w:rsidRPr="00F44045">
        <w:rPr>
          <w:rFonts w:asciiTheme="majorHAnsi" w:hAnsiTheme="majorHAnsi" w:cstheme="majorHAnsi"/>
          <w:bCs/>
          <w:color w:val="4F2D7F" w:themeColor="accent1"/>
          <w:kern w:val="32"/>
          <w:sz w:val="36"/>
          <w:szCs w:val="28"/>
          <w:lang w:val="pl-PL"/>
        </w:rPr>
        <w:t>Catalyst</w:t>
      </w:r>
      <w:proofErr w:type="spellEnd"/>
      <w:r w:rsidRPr="00F44045">
        <w:rPr>
          <w:rFonts w:asciiTheme="majorHAnsi" w:hAnsiTheme="majorHAnsi" w:cstheme="majorHAnsi"/>
          <w:bCs/>
          <w:color w:val="4F2D7F" w:themeColor="accent1"/>
          <w:kern w:val="32"/>
          <w:sz w:val="36"/>
          <w:szCs w:val="28"/>
          <w:lang w:val="pl-PL"/>
        </w:rPr>
        <w:t xml:space="preserve"> nie zwalnia tempa. W 2017 r. wartość </w:t>
      </w:r>
      <w:proofErr w:type="spellStart"/>
      <w:r w:rsidRPr="00F44045">
        <w:rPr>
          <w:rFonts w:asciiTheme="majorHAnsi" w:hAnsiTheme="majorHAnsi" w:cstheme="majorHAnsi"/>
          <w:bCs/>
          <w:color w:val="4F2D7F" w:themeColor="accent1"/>
          <w:kern w:val="32"/>
          <w:sz w:val="36"/>
          <w:szCs w:val="28"/>
          <w:lang w:val="pl-PL"/>
        </w:rPr>
        <w:t>nieskarbowych</w:t>
      </w:r>
      <w:proofErr w:type="spellEnd"/>
      <w:r w:rsidRPr="00F44045">
        <w:rPr>
          <w:rFonts w:asciiTheme="majorHAnsi" w:hAnsiTheme="majorHAnsi" w:cstheme="majorHAnsi"/>
          <w:bCs/>
          <w:color w:val="4F2D7F" w:themeColor="accent1"/>
          <w:kern w:val="32"/>
          <w:sz w:val="36"/>
          <w:szCs w:val="28"/>
          <w:lang w:val="pl-PL"/>
        </w:rPr>
        <w:t xml:space="preserve"> obligacji wyemitowanych na tym rynku wzrosła o 17% i pobiła historyczny rekord</w:t>
      </w:r>
    </w:p>
    <w:p w:rsidR="007A5040" w:rsidRPr="00A93F45" w:rsidRDefault="007A5040" w:rsidP="007A5040">
      <w:pPr>
        <w:pStyle w:val="Tekstpodstawowy"/>
        <w:spacing w:line="360" w:lineRule="auto"/>
        <w:rPr>
          <w:sz w:val="20"/>
          <w:lang w:val="pl-PL"/>
        </w:rPr>
      </w:pPr>
    </w:p>
    <w:p w:rsidR="00F44045" w:rsidRDefault="00F44045" w:rsidP="00F44045">
      <w:pPr>
        <w:pStyle w:val="Tekstpodstawowy"/>
        <w:spacing w:line="360" w:lineRule="auto"/>
        <w:rPr>
          <w:noProof/>
          <w:sz w:val="20"/>
          <w:lang w:val="pl-PL" w:eastAsia="pl-PL"/>
        </w:rPr>
      </w:pPr>
      <w:r w:rsidRPr="00F44045">
        <w:rPr>
          <w:rFonts w:eastAsiaTheme="minorHAnsi" w:cstheme="minorHAnsi"/>
          <w:sz w:val="22"/>
          <w:szCs w:val="22"/>
          <w:lang w:val="pl-PL"/>
        </w:rPr>
        <w:t xml:space="preserve"> </w:t>
      </w:r>
      <w:r w:rsidRPr="00F44045">
        <w:rPr>
          <w:noProof/>
          <w:sz w:val="20"/>
          <w:lang w:val="pl-PL" w:eastAsia="pl-PL"/>
        </w:rPr>
        <w:t>Miniony rok był dla rynku Catalyst rekordowy. Jak wynika z raportu przygotowanego przez firmę audytorsko-doradczą Grant Thornton pod patronatem Giełdy Papierów Wartościowych w Warszawie, emitenci poprzez emisję obligacji za pośrednictwem Catalyst pozyskali 12,3 mln zł, a wartość rynku mierzona między końcem 2016 i</w:t>
      </w:r>
      <w:r w:rsidR="001308F2">
        <w:rPr>
          <w:noProof/>
          <w:sz w:val="20"/>
          <w:lang w:val="pl-PL" w:eastAsia="pl-PL"/>
        </w:rPr>
        <w:t> 2017 </w:t>
      </w:r>
      <w:r w:rsidRPr="00F44045">
        <w:rPr>
          <w:noProof/>
          <w:sz w:val="20"/>
          <w:lang w:val="pl-PL" w:eastAsia="pl-PL"/>
        </w:rPr>
        <w:t>r. wzrosła o 14 mld zł. To zdecydowanie najwyższe wyniki w historii, dotych</w:t>
      </w:r>
      <w:r w:rsidR="001308F2">
        <w:rPr>
          <w:noProof/>
          <w:sz w:val="20"/>
          <w:lang w:val="pl-PL" w:eastAsia="pl-PL"/>
        </w:rPr>
        <w:t>czas rekordowy był rok 2012, w k</w:t>
      </w:r>
      <w:r w:rsidRPr="00F44045">
        <w:rPr>
          <w:noProof/>
          <w:sz w:val="20"/>
          <w:lang w:val="pl-PL" w:eastAsia="pl-PL"/>
        </w:rPr>
        <w:t>tórym emitenci pozyskali 10,7 mld zł. Łącznie na koniec 2017 r. wartość nieskarbowych instrumentów dłużnych notowanych na Catalyst wyniosła 95,8 mld zł i przez trzy ostatnie lata wzrosła o 50%.</w:t>
      </w:r>
    </w:p>
    <w:p w:rsidR="00F44045" w:rsidRPr="00F44045" w:rsidRDefault="00F44045" w:rsidP="00F44045">
      <w:pPr>
        <w:pStyle w:val="Tekstpodstawowy"/>
        <w:spacing w:line="360" w:lineRule="auto"/>
        <w:rPr>
          <w:noProof/>
          <w:sz w:val="20"/>
          <w:lang w:val="pl-PL" w:eastAsia="pl-PL"/>
        </w:rPr>
      </w:pPr>
    </w:p>
    <w:p w:rsidR="00F44045" w:rsidRPr="00F44045" w:rsidRDefault="00F44045" w:rsidP="00F44045">
      <w:pPr>
        <w:pStyle w:val="Tekstpodstawowy"/>
        <w:spacing w:line="360" w:lineRule="auto"/>
        <w:rPr>
          <w:b/>
          <w:noProof/>
          <w:sz w:val="20"/>
          <w:lang w:val="pl-PL" w:eastAsia="pl-PL"/>
        </w:rPr>
      </w:pPr>
      <w:r w:rsidRPr="00F44045">
        <w:rPr>
          <w:b/>
          <w:noProof/>
          <w:sz w:val="20"/>
          <w:lang w:val="pl-PL" w:eastAsia="pl-PL"/>
        </w:rPr>
        <w:t>Regionalne centrum długu</w:t>
      </w:r>
    </w:p>
    <w:p w:rsidR="00F44045" w:rsidRPr="00F44045" w:rsidRDefault="00F44045" w:rsidP="00F44045">
      <w:pPr>
        <w:pStyle w:val="Tekstpodstawowy"/>
        <w:spacing w:line="360" w:lineRule="auto"/>
        <w:rPr>
          <w:noProof/>
          <w:sz w:val="20"/>
          <w:lang w:val="pl-PL" w:eastAsia="pl-PL"/>
        </w:rPr>
      </w:pPr>
      <w:r w:rsidRPr="00F44045">
        <w:rPr>
          <w:noProof/>
          <w:sz w:val="20"/>
          <w:lang w:val="pl-PL" w:eastAsia="pl-PL"/>
        </w:rPr>
        <w:t xml:space="preserve">Rosnącą popularność Catalyst potwierdza nie tylko wartość, ale też liczba instrumentów dłużnych. W 2017 r. liczba obligacji korporacyjnych wzrosła o 8,3%, listów zastawnych – o 13,3%, a obligacji komunalnych – </w:t>
      </w:r>
      <w:r w:rsidR="001308F2">
        <w:rPr>
          <w:noProof/>
          <w:sz w:val="20"/>
          <w:lang w:val="pl-PL" w:eastAsia="pl-PL"/>
        </w:rPr>
        <w:t>o </w:t>
      </w:r>
      <w:r w:rsidRPr="00F44045">
        <w:rPr>
          <w:noProof/>
          <w:sz w:val="20"/>
          <w:lang w:val="pl-PL" w:eastAsia="pl-PL"/>
        </w:rPr>
        <w:t>rekordowe 10,2%. Jedynie w przypadku obligacji spółdzielczych, podobnie jak w 2016 roku, odnotowano spadek (o 5,6%). Wyłączając z analizy obligacje Skarbu Państwa, liczba instrumentów dłużnych notowanych na C</w:t>
      </w:r>
      <w:r w:rsidR="001308F2">
        <w:rPr>
          <w:noProof/>
          <w:sz w:val="20"/>
          <w:lang w:val="pl-PL" w:eastAsia="pl-PL"/>
        </w:rPr>
        <w:t>atalyst z </w:t>
      </w:r>
      <w:r w:rsidRPr="00F44045">
        <w:rPr>
          <w:noProof/>
          <w:sz w:val="20"/>
          <w:lang w:val="pl-PL" w:eastAsia="pl-PL"/>
        </w:rPr>
        <w:t>końcem 2017 roku wyniosła 567 serii, tj. była wyższa o 43 serie niż w roku poprzednim.</w:t>
      </w:r>
    </w:p>
    <w:p w:rsidR="00F44045" w:rsidRPr="00F44045" w:rsidRDefault="00F44045" w:rsidP="00F44045">
      <w:pPr>
        <w:pStyle w:val="Tekstpodstawowy"/>
        <w:spacing w:line="360" w:lineRule="auto"/>
        <w:rPr>
          <w:noProof/>
          <w:sz w:val="20"/>
          <w:lang w:val="pl-PL" w:eastAsia="pl-PL"/>
        </w:rPr>
      </w:pPr>
      <w:r w:rsidRPr="00F308FB">
        <w:rPr>
          <w:noProof/>
          <w:sz w:val="20"/>
          <w:lang w:val="pl-PL" w:eastAsia="pl-PL"/>
        </w:rPr>
        <w:lastRenderedPageBreak/>
        <w:drawing>
          <wp:anchor distT="0" distB="0" distL="114300" distR="114300" simplePos="0" relativeHeight="251656192" behindDoc="0" locked="0" layoutInCell="1" allowOverlap="1" wp14:anchorId="10F789D3" wp14:editId="036F133C">
            <wp:simplePos x="0" y="0"/>
            <wp:positionH relativeFrom="column">
              <wp:posOffset>44450</wp:posOffset>
            </wp:positionH>
            <wp:positionV relativeFrom="paragraph">
              <wp:posOffset>58420</wp:posOffset>
            </wp:positionV>
            <wp:extent cx="660400" cy="615950"/>
            <wp:effectExtent l="0" t="0" r="6350" b="0"/>
            <wp:wrapSquare wrapText="bothSides"/>
            <wp:docPr id="2" name="Obraz 2" descr="C:\Users\kowalczyk.jacek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walczyk.jacek\Desktop\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045" w:rsidRPr="00F44045" w:rsidRDefault="00F44045" w:rsidP="00F44045">
      <w:pPr>
        <w:pStyle w:val="Tekstpodstawowy"/>
        <w:spacing w:line="360" w:lineRule="auto"/>
        <w:rPr>
          <w:noProof/>
          <w:sz w:val="20"/>
          <w:lang w:val="pl-PL" w:eastAsia="pl-PL"/>
        </w:rPr>
      </w:pPr>
      <w:r>
        <w:rPr>
          <w:noProof/>
          <w:sz w:val="20"/>
          <w:lang w:val="pl-PL" w:eastAsia="pl-PL"/>
        </w:rPr>
        <w:t>R</w:t>
      </w:r>
      <w:r w:rsidRPr="00F44045">
        <w:rPr>
          <w:noProof/>
          <w:sz w:val="20"/>
          <w:lang w:val="pl-PL" w:eastAsia="pl-PL"/>
        </w:rPr>
        <w:t>rynek obligacji korporacyjnych i samorządowych przestał być w Polsce postrzegany jako nowinka, ale stał się naturalnym, ważnym elementem polskiego środowiska biznesowego. Choć oczywiście nie jest to rynek pozbawiony ryzyka, to z pewnością jest ciekawą alternatyw</w:t>
      </w:r>
      <w:r w:rsidR="001308F2">
        <w:rPr>
          <w:noProof/>
          <w:sz w:val="20"/>
          <w:lang w:val="pl-PL" w:eastAsia="pl-PL"/>
        </w:rPr>
        <w:t>ą zarówno dla inwestorów, jak i </w:t>
      </w:r>
      <w:r w:rsidRPr="00F44045">
        <w:rPr>
          <w:noProof/>
          <w:sz w:val="20"/>
          <w:lang w:val="pl-PL" w:eastAsia="pl-PL"/>
        </w:rPr>
        <w:t xml:space="preserve">emitentów – mówi </w:t>
      </w:r>
      <w:r w:rsidRPr="00F44045">
        <w:rPr>
          <w:b/>
          <w:noProof/>
          <w:sz w:val="20"/>
          <w:lang w:val="pl-PL" w:eastAsia="pl-PL"/>
        </w:rPr>
        <w:t>Paulina Zalewska-Wichrzycka</w:t>
      </w:r>
      <w:r w:rsidRPr="00F44045">
        <w:rPr>
          <w:noProof/>
          <w:sz w:val="20"/>
          <w:lang w:val="pl-PL" w:eastAsia="pl-PL"/>
        </w:rPr>
        <w:t>, Doradca w Grant Thornton.</w:t>
      </w:r>
    </w:p>
    <w:p w:rsidR="00F44045" w:rsidRPr="00F44045" w:rsidRDefault="00F44045" w:rsidP="00F44045">
      <w:pPr>
        <w:pStyle w:val="Tekstpodstawowy"/>
        <w:spacing w:line="360" w:lineRule="auto"/>
        <w:rPr>
          <w:noProof/>
          <w:sz w:val="20"/>
          <w:lang w:val="pl-PL" w:eastAsia="pl-PL"/>
        </w:rPr>
      </w:pPr>
      <w:bookmarkStart w:id="0" w:name="_GoBack"/>
      <w:bookmarkEnd w:id="0"/>
    </w:p>
    <w:p w:rsidR="00F44045" w:rsidRPr="00F44045" w:rsidRDefault="00F44045" w:rsidP="00F44045">
      <w:pPr>
        <w:pStyle w:val="Tekstpodstawowy"/>
        <w:spacing w:line="360" w:lineRule="auto"/>
        <w:rPr>
          <w:noProof/>
          <w:sz w:val="20"/>
          <w:lang w:val="pl-PL" w:eastAsia="pl-PL"/>
        </w:rPr>
      </w:pPr>
      <w:r w:rsidRPr="001F60FC">
        <w:rPr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3D30D" wp14:editId="5D246FF7">
                <wp:simplePos x="0" y="0"/>
                <wp:positionH relativeFrom="column">
                  <wp:posOffset>-82550</wp:posOffset>
                </wp:positionH>
                <wp:positionV relativeFrom="paragraph">
                  <wp:posOffset>1073785</wp:posOffset>
                </wp:positionV>
                <wp:extent cx="6559550" cy="266700"/>
                <wp:effectExtent l="0" t="0" r="0" b="0"/>
                <wp:wrapSquare wrapText="bothSides"/>
                <wp:docPr id="14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4045" w:rsidRPr="006F26B4" w:rsidRDefault="00F44045" w:rsidP="00F44045">
                            <w:pPr>
                              <w:rPr>
                                <w:rFonts w:eastAsia="Calibri" w:cstheme="minorHAnsi"/>
                                <w:lang w:val="pl-PL"/>
                              </w:rPr>
                            </w:pPr>
                            <w:r w:rsidRPr="006F26B4">
                              <w:rPr>
                                <w:rFonts w:eastAsia="Calibri" w:cstheme="minorHAnsi"/>
                                <w:b/>
                                <w:lang w:val="pl-PL"/>
                              </w:rPr>
                              <w:t>Wykres.</w:t>
                            </w:r>
                            <w:r w:rsidRPr="006F26B4">
                              <w:rPr>
                                <w:rFonts w:eastAsia="Calibri" w:cstheme="minorHAnsi"/>
                                <w:lang w:val="pl-PL"/>
                              </w:rPr>
                              <w:t xml:space="preserve"> Liczba obligacji notowanych na giełdach krajów Europy Środkowej i Wschodniej</w:t>
                            </w:r>
                          </w:p>
                          <w:p w:rsidR="001F60FC" w:rsidRPr="00520B31" w:rsidRDefault="001F60FC" w:rsidP="00520B31">
                            <w:pPr>
                              <w:pStyle w:val="NormalnyWeb"/>
                              <w:spacing w:after="0"/>
                              <w:rPr>
                                <w:rFonts w:asciiTheme="minorHAnsi" w:hAnsi="Arial" w:cstheme="minorBidi"/>
                                <w:color w:val="000000" w:themeColor="text1"/>
                                <w:kern w:val="24"/>
                                <w:sz w:val="16"/>
                                <w:szCs w:val="18"/>
                                <w:lang w:val="pl-PL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3D30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.5pt;margin-top:84.55pt;width:516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" filled="f" stroked="f">
                <v:textbox>
                  <w:txbxContent>
                    <w:p w:rsidR="00F44045" w:rsidRPr="006F26B4" w:rsidRDefault="00F44045" w:rsidP="00F44045">
                      <w:pPr>
                        <w:rPr>
                          <w:rFonts w:eastAsia="Calibri" w:cstheme="minorHAnsi"/>
                          <w:lang w:val="pl-PL"/>
                        </w:rPr>
                      </w:pPr>
                      <w:r w:rsidRPr="006F26B4">
                        <w:rPr>
                          <w:rFonts w:eastAsia="Calibri" w:cstheme="minorHAnsi"/>
                          <w:b/>
                          <w:lang w:val="pl-PL"/>
                        </w:rPr>
                        <w:t>Wykres.</w:t>
                      </w:r>
                      <w:r w:rsidRPr="006F26B4">
                        <w:rPr>
                          <w:rFonts w:eastAsia="Calibri" w:cstheme="minorHAnsi"/>
                          <w:lang w:val="pl-PL"/>
                        </w:rPr>
                        <w:t xml:space="preserve"> Liczba obligacji notowanych na giełdach krajów Europy Środkowej i Wschodniej</w:t>
                      </w:r>
                    </w:p>
                    <w:p w:rsidR="001F60FC" w:rsidRPr="00520B31" w:rsidRDefault="001F60FC" w:rsidP="00520B31">
                      <w:pPr>
                        <w:pStyle w:val="NormalnyWeb"/>
                        <w:spacing w:after="0"/>
                        <w:rPr>
                          <w:rFonts w:asciiTheme="minorHAnsi" w:hAnsi="Arial" w:cstheme="minorBidi"/>
                          <w:color w:val="000000" w:themeColor="text1"/>
                          <w:kern w:val="24"/>
                          <w:sz w:val="16"/>
                          <w:szCs w:val="18"/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44045">
        <w:rPr>
          <w:noProof/>
          <w:sz w:val="20"/>
          <w:lang w:val="pl-PL" w:eastAsia="pl-PL"/>
        </w:rPr>
        <w:t xml:space="preserve">Dzięki rozwojowi rynku Catalyst Polska stała się w ostatnich latach pod tym względem niekwestionowanym liderem Europy Środkowej i Wschodniej. Liczba serii obligacji notowanych na Catalyst była na koniec 2017 r. ponad dwukrotnie wyższa niż łączna liczba serii obligacji w trzech najważniejszych regionalnych analogicznych rynków – w Czechach, na Węgrzech i w Rumunii. </w:t>
      </w:r>
    </w:p>
    <w:p w:rsidR="00B86408" w:rsidRPr="007A44D1" w:rsidRDefault="00F44045" w:rsidP="007A5040">
      <w:pPr>
        <w:pStyle w:val="Tekstpodstawowy"/>
        <w:spacing w:line="360" w:lineRule="auto"/>
        <w:rPr>
          <w:sz w:val="20"/>
          <w:lang w:val="pl-PL"/>
        </w:rPr>
      </w:pPr>
      <w:r w:rsidRPr="000C5F9E">
        <w:rPr>
          <w:rFonts w:eastAsia="Calibri" w:cstheme="minorHAnsi"/>
          <w:noProof/>
          <w:lang w:eastAsia="pl-PL"/>
        </w:rPr>
        <w:drawing>
          <wp:inline distT="0" distB="0" distL="0" distR="0" wp14:anchorId="2163C5C4" wp14:editId="0BA6BFB5">
            <wp:extent cx="6381750" cy="3162300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F26B4" w:rsidRPr="006F26B4" w:rsidRDefault="006F26B4" w:rsidP="006F26B4">
      <w:pPr>
        <w:pStyle w:val="Tekstpodstawowy"/>
        <w:spacing w:line="360" w:lineRule="auto"/>
        <w:rPr>
          <w:sz w:val="22"/>
          <w:lang w:val="pl-PL"/>
        </w:rPr>
      </w:pPr>
      <w:r>
        <w:rPr>
          <w:sz w:val="4"/>
          <w:lang w:val="pl-PL"/>
        </w:rPr>
        <w:br/>
      </w:r>
      <w:r w:rsidRPr="006F26B4">
        <w:rPr>
          <w:lang w:val="pl-PL"/>
        </w:rPr>
        <w:t>Źródło: Opracowanie własne Grant Thornton na podstawie danych FESE</w:t>
      </w:r>
    </w:p>
    <w:p w:rsidR="006F26B4" w:rsidRDefault="006F26B4" w:rsidP="006F26B4">
      <w:pPr>
        <w:pStyle w:val="Tekstpodstawowy"/>
        <w:spacing w:line="360" w:lineRule="auto"/>
        <w:rPr>
          <w:sz w:val="20"/>
          <w:lang w:val="pl-PL"/>
        </w:rPr>
      </w:pPr>
      <w:r w:rsidRPr="00F308FB">
        <w:rPr>
          <w:noProof/>
          <w:sz w:val="20"/>
          <w:lang w:val="pl-PL" w:eastAsia="pl-PL"/>
        </w:rPr>
        <w:drawing>
          <wp:anchor distT="0" distB="0" distL="114300" distR="114300" simplePos="0" relativeHeight="251679744" behindDoc="0" locked="0" layoutInCell="1" allowOverlap="1" wp14:anchorId="2C2FFBD4" wp14:editId="47DCC7DC">
            <wp:simplePos x="0" y="0"/>
            <wp:positionH relativeFrom="column">
              <wp:posOffset>44450</wp:posOffset>
            </wp:positionH>
            <wp:positionV relativeFrom="paragraph">
              <wp:posOffset>85090</wp:posOffset>
            </wp:positionV>
            <wp:extent cx="660400" cy="615950"/>
            <wp:effectExtent l="0" t="0" r="6350" b="0"/>
            <wp:wrapSquare wrapText="bothSides"/>
            <wp:docPr id="6" name="Obraz 6" descr="C:\Users\kowalczyk.jacek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walczyk.jacek\Desktop\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6B4" w:rsidRPr="006F26B4" w:rsidRDefault="006F26B4" w:rsidP="006F26B4">
      <w:pPr>
        <w:pStyle w:val="Tekstpodstawowy"/>
        <w:spacing w:line="360" w:lineRule="auto"/>
        <w:rPr>
          <w:sz w:val="20"/>
          <w:lang w:val="pl-PL"/>
        </w:rPr>
      </w:pPr>
      <w:r w:rsidRPr="006F26B4">
        <w:rPr>
          <w:sz w:val="20"/>
          <w:lang w:val="pl-PL"/>
        </w:rPr>
        <w:t xml:space="preserve">We wrześniu tego roku minie dziewięć lat od uruchomienia </w:t>
      </w:r>
      <w:proofErr w:type="spellStart"/>
      <w:r w:rsidRPr="006F26B4">
        <w:rPr>
          <w:sz w:val="20"/>
          <w:lang w:val="pl-PL"/>
        </w:rPr>
        <w:t>Catalyst</w:t>
      </w:r>
      <w:proofErr w:type="spellEnd"/>
      <w:r w:rsidRPr="006F26B4">
        <w:rPr>
          <w:sz w:val="20"/>
          <w:lang w:val="pl-PL"/>
        </w:rPr>
        <w:t xml:space="preserve">. To był intensywny czas rozwoju rynku, który z każdym rokiem zyskiwał na popularności. Sytuacja na polskim rynku instrumentów dłużnych świadczy o tym, że rośnie świadomość wynikających z tego korzyści. Dokładamy starań, by rynek ten służył nie tylko przedsiębiorstwom, ale i inwestorom. Dlatego chcielibyśmy w przyszłości zapewnić im jak najszerszą ofertę produktów i usług w zakresie rynku długu – </w:t>
      </w:r>
      <w:r>
        <w:rPr>
          <w:sz w:val="20"/>
          <w:lang w:val="pl-PL"/>
        </w:rPr>
        <w:t>komentuje</w:t>
      </w:r>
      <w:r w:rsidRPr="006F26B4">
        <w:rPr>
          <w:sz w:val="20"/>
          <w:lang w:val="pl-PL"/>
        </w:rPr>
        <w:t xml:space="preserve"> </w:t>
      </w:r>
      <w:r w:rsidRPr="006F26B4">
        <w:rPr>
          <w:b/>
          <w:sz w:val="20"/>
          <w:lang w:val="pl-PL"/>
        </w:rPr>
        <w:t>Jacek Fotek</w:t>
      </w:r>
      <w:r w:rsidRPr="006F26B4">
        <w:rPr>
          <w:sz w:val="20"/>
          <w:lang w:val="pl-PL"/>
        </w:rPr>
        <w:t>, Wiceprezes Giełdy Papierów Wartościowych w Warszawie.</w:t>
      </w:r>
    </w:p>
    <w:p w:rsidR="006F26B4" w:rsidRPr="006F26B4" w:rsidRDefault="006F26B4" w:rsidP="006F26B4">
      <w:pPr>
        <w:pStyle w:val="Tekstpodstawowy"/>
        <w:spacing w:line="360" w:lineRule="auto"/>
        <w:rPr>
          <w:b/>
          <w:sz w:val="20"/>
          <w:lang w:val="pl-PL"/>
        </w:rPr>
      </w:pPr>
    </w:p>
    <w:p w:rsidR="006F26B4" w:rsidRPr="006F26B4" w:rsidRDefault="006F26B4" w:rsidP="006F26B4">
      <w:pPr>
        <w:pStyle w:val="Tekstpodstawowy"/>
        <w:spacing w:line="360" w:lineRule="auto"/>
        <w:rPr>
          <w:b/>
          <w:sz w:val="20"/>
          <w:lang w:val="pl-PL"/>
        </w:rPr>
      </w:pPr>
      <w:r w:rsidRPr="006F26B4">
        <w:rPr>
          <w:b/>
          <w:sz w:val="20"/>
          <w:lang w:val="pl-PL"/>
        </w:rPr>
        <w:lastRenderedPageBreak/>
        <w:t xml:space="preserve">Życie po </w:t>
      </w:r>
      <w:proofErr w:type="spellStart"/>
      <w:r w:rsidRPr="006F26B4">
        <w:rPr>
          <w:b/>
          <w:sz w:val="20"/>
          <w:lang w:val="pl-PL"/>
        </w:rPr>
        <w:t>GetBacku</w:t>
      </w:r>
      <w:proofErr w:type="spellEnd"/>
    </w:p>
    <w:p w:rsidR="006F26B4" w:rsidRDefault="006F26B4" w:rsidP="006F26B4">
      <w:pPr>
        <w:pStyle w:val="Tekstpodstawowy"/>
        <w:spacing w:line="360" w:lineRule="auto"/>
        <w:rPr>
          <w:sz w:val="20"/>
          <w:lang w:val="pl-PL"/>
        </w:rPr>
      </w:pPr>
      <w:r w:rsidRPr="006F26B4">
        <w:rPr>
          <w:sz w:val="20"/>
          <w:lang w:val="pl-PL"/>
        </w:rPr>
        <w:t xml:space="preserve">Ostatnie miesiące po raz kolejny przypomniały, że rynek obligacji nie daje pełnej gwarancji dla inwestorów. Od marca szerokim echem odbija się niewywiązywanie się z zobowiązań przez jednego z emitentów – spółki </w:t>
      </w:r>
      <w:proofErr w:type="spellStart"/>
      <w:r w:rsidRPr="006F26B4">
        <w:rPr>
          <w:sz w:val="20"/>
          <w:lang w:val="pl-PL"/>
        </w:rPr>
        <w:t>GetBack</w:t>
      </w:r>
      <w:proofErr w:type="spellEnd"/>
      <w:r w:rsidRPr="006F26B4">
        <w:rPr>
          <w:sz w:val="20"/>
          <w:lang w:val="pl-PL"/>
        </w:rPr>
        <w:t>. Poziom zadłużenia z tytułu emisji obligacji na koniec marca 2018 r. Komisja Nadzoru Finansowego szacuje na blisko 2,6 mld zł.</w:t>
      </w:r>
    </w:p>
    <w:p w:rsidR="006F26B4" w:rsidRPr="006F26B4" w:rsidRDefault="006F26B4" w:rsidP="006F26B4">
      <w:pPr>
        <w:pStyle w:val="Tekstpodstawowy"/>
        <w:spacing w:line="360" w:lineRule="auto"/>
        <w:rPr>
          <w:sz w:val="20"/>
          <w:lang w:val="pl-PL"/>
        </w:rPr>
      </w:pPr>
    </w:p>
    <w:p w:rsidR="006F26B4" w:rsidRPr="006F26B4" w:rsidRDefault="006F26B4" w:rsidP="006F26B4">
      <w:pPr>
        <w:pStyle w:val="Tekstpodstawowy"/>
        <w:spacing w:line="360" w:lineRule="auto"/>
        <w:rPr>
          <w:sz w:val="20"/>
          <w:lang w:val="pl-PL"/>
        </w:rPr>
      </w:pPr>
      <w:r w:rsidRPr="006F26B4">
        <w:rPr>
          <w:sz w:val="20"/>
          <w:lang w:val="pl-PL"/>
        </w:rPr>
        <w:t xml:space="preserve">Należy jednak zwrócić uwagę, iż łączna wartość instrumentów </w:t>
      </w:r>
      <w:proofErr w:type="spellStart"/>
      <w:r w:rsidRPr="006F26B4">
        <w:rPr>
          <w:sz w:val="20"/>
          <w:lang w:val="pl-PL"/>
        </w:rPr>
        <w:t>GetBack</w:t>
      </w:r>
      <w:proofErr w:type="spellEnd"/>
      <w:r w:rsidRPr="006F26B4">
        <w:rPr>
          <w:sz w:val="20"/>
          <w:lang w:val="pl-PL"/>
        </w:rPr>
        <w:t xml:space="preserve">, wprowadzonych na rynek </w:t>
      </w:r>
      <w:proofErr w:type="spellStart"/>
      <w:r w:rsidRPr="006F26B4">
        <w:rPr>
          <w:sz w:val="20"/>
          <w:lang w:val="pl-PL"/>
        </w:rPr>
        <w:t>Catalyst</w:t>
      </w:r>
      <w:proofErr w:type="spellEnd"/>
      <w:r w:rsidRPr="006F26B4">
        <w:rPr>
          <w:sz w:val="20"/>
          <w:lang w:val="pl-PL"/>
        </w:rPr>
        <w:t xml:space="preserve">, począwszy od debiutu spółki na rynku w 2016 roku do końca 2017 roku, wyniosła blisko 522 mln zł i stanowiła odpowiednio: 0,8% w 2016 r. oraz 0,7% w 2017 roku łącznej wartości emisji obligacji korporacyjnych. Należy zatem zauważyć, że obligacje notowane na </w:t>
      </w:r>
      <w:proofErr w:type="spellStart"/>
      <w:r w:rsidRPr="006F26B4">
        <w:rPr>
          <w:sz w:val="20"/>
          <w:lang w:val="pl-PL"/>
        </w:rPr>
        <w:t>Catalyst</w:t>
      </w:r>
      <w:proofErr w:type="spellEnd"/>
      <w:r w:rsidRPr="006F26B4">
        <w:rPr>
          <w:sz w:val="20"/>
          <w:lang w:val="pl-PL"/>
        </w:rPr>
        <w:t xml:space="preserve"> stanowiły zaledwie niewielki wycinek długu wyemitowanego przez </w:t>
      </w:r>
      <w:proofErr w:type="spellStart"/>
      <w:r w:rsidRPr="006F26B4">
        <w:rPr>
          <w:sz w:val="20"/>
          <w:lang w:val="pl-PL"/>
        </w:rPr>
        <w:t>GetBack</w:t>
      </w:r>
      <w:proofErr w:type="spellEnd"/>
      <w:r w:rsidRPr="006F26B4">
        <w:rPr>
          <w:sz w:val="20"/>
          <w:lang w:val="pl-PL"/>
        </w:rPr>
        <w:t>, a sytuacja w znacznej części dotyczy rynku pozagiełdowego.</w:t>
      </w:r>
    </w:p>
    <w:p w:rsidR="006F26B4" w:rsidRDefault="006F26B4" w:rsidP="006F26B4">
      <w:pPr>
        <w:pStyle w:val="Tekstpodstawowy"/>
        <w:spacing w:line="360" w:lineRule="auto"/>
        <w:rPr>
          <w:sz w:val="20"/>
          <w:lang w:val="pl-PL"/>
        </w:rPr>
      </w:pPr>
      <w:r w:rsidRPr="00F308FB">
        <w:rPr>
          <w:noProof/>
          <w:sz w:val="20"/>
          <w:lang w:val="pl-PL" w:eastAsia="pl-PL"/>
        </w:rPr>
        <w:drawing>
          <wp:anchor distT="0" distB="0" distL="114300" distR="114300" simplePos="0" relativeHeight="251681792" behindDoc="0" locked="0" layoutInCell="1" allowOverlap="1" wp14:anchorId="23F3E813" wp14:editId="5F1AD6D9">
            <wp:simplePos x="0" y="0"/>
            <wp:positionH relativeFrom="column">
              <wp:posOffset>0</wp:posOffset>
            </wp:positionH>
            <wp:positionV relativeFrom="paragraph">
              <wp:posOffset>59690</wp:posOffset>
            </wp:positionV>
            <wp:extent cx="660400" cy="615950"/>
            <wp:effectExtent l="0" t="0" r="6350" b="0"/>
            <wp:wrapSquare wrapText="bothSides"/>
            <wp:docPr id="9" name="Obraz 9" descr="C:\Users\kowalczyk.jacek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walczyk.jacek\Desktop\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6B4" w:rsidRPr="006F26B4" w:rsidRDefault="006F26B4" w:rsidP="006F26B4">
      <w:pPr>
        <w:pStyle w:val="Tekstpodstawowy"/>
        <w:spacing w:line="360" w:lineRule="auto"/>
        <w:rPr>
          <w:sz w:val="20"/>
          <w:lang w:val="pl-PL"/>
        </w:rPr>
      </w:pPr>
      <w:r w:rsidRPr="006F26B4">
        <w:rPr>
          <w:sz w:val="20"/>
          <w:lang w:val="pl-PL"/>
        </w:rPr>
        <w:t xml:space="preserve">Oznacza to, że rynek </w:t>
      </w:r>
      <w:proofErr w:type="spellStart"/>
      <w:r w:rsidRPr="006F26B4">
        <w:rPr>
          <w:sz w:val="20"/>
          <w:lang w:val="pl-PL"/>
        </w:rPr>
        <w:t>Catalyst</w:t>
      </w:r>
      <w:proofErr w:type="spellEnd"/>
      <w:r w:rsidRPr="006F26B4">
        <w:rPr>
          <w:sz w:val="20"/>
          <w:lang w:val="pl-PL"/>
        </w:rPr>
        <w:t xml:space="preserve"> nie powinien być oceniany z p</w:t>
      </w:r>
      <w:r w:rsidR="001308F2">
        <w:rPr>
          <w:sz w:val="20"/>
          <w:lang w:val="pl-PL"/>
        </w:rPr>
        <w:t>erspektywy jednego emitenta, a w</w:t>
      </w:r>
      <w:r w:rsidRPr="006F26B4">
        <w:rPr>
          <w:sz w:val="20"/>
          <w:lang w:val="pl-PL"/>
        </w:rPr>
        <w:t xml:space="preserve">szystkich podmiotów, które notują na nim swoje instrumenty i łącznie wyznaczają </w:t>
      </w:r>
      <w:r w:rsidR="001308F2">
        <w:rPr>
          <w:sz w:val="20"/>
          <w:lang w:val="pl-PL"/>
        </w:rPr>
        <w:t>jego wartość. Z </w:t>
      </w:r>
      <w:r w:rsidRPr="006F26B4">
        <w:rPr>
          <w:sz w:val="20"/>
          <w:lang w:val="pl-PL"/>
        </w:rPr>
        <w:t xml:space="preserve">drugiej strony nie należy lekceważyć sytuacji, w których emitenci narażają interesy inwestorów. Pojawiające się na rynku </w:t>
      </w:r>
      <w:proofErr w:type="spellStart"/>
      <w:r w:rsidRPr="006F26B4">
        <w:rPr>
          <w:sz w:val="20"/>
          <w:lang w:val="pl-PL"/>
        </w:rPr>
        <w:t>defaulty</w:t>
      </w:r>
      <w:proofErr w:type="spellEnd"/>
      <w:r w:rsidRPr="006F26B4">
        <w:rPr>
          <w:sz w:val="20"/>
          <w:lang w:val="pl-PL"/>
        </w:rPr>
        <w:t xml:space="preserve"> nie pozostaną bez wpływu na wycenę przez inwestorów przyszłych ofert emisji – zaznacza </w:t>
      </w:r>
      <w:r w:rsidRPr="006F26B4">
        <w:rPr>
          <w:b/>
          <w:sz w:val="20"/>
          <w:lang w:val="pl-PL"/>
        </w:rPr>
        <w:t>Paulina Zalewska-Wichrzycka</w:t>
      </w:r>
      <w:r w:rsidRPr="006F26B4">
        <w:rPr>
          <w:sz w:val="20"/>
          <w:lang w:val="pl-PL"/>
        </w:rPr>
        <w:t>.</w:t>
      </w:r>
    </w:p>
    <w:p w:rsidR="006F26B4" w:rsidRPr="006F26B4" w:rsidRDefault="006F26B4" w:rsidP="006F26B4">
      <w:pPr>
        <w:pStyle w:val="Tekstpodstawowy"/>
        <w:spacing w:line="360" w:lineRule="auto"/>
        <w:rPr>
          <w:sz w:val="20"/>
          <w:lang w:val="pl-PL"/>
        </w:rPr>
      </w:pPr>
    </w:p>
    <w:p w:rsidR="006F26B4" w:rsidRPr="006F26B4" w:rsidRDefault="006F26B4" w:rsidP="006F26B4">
      <w:pPr>
        <w:pStyle w:val="Tekstpodstawowy"/>
        <w:spacing w:line="360" w:lineRule="auto"/>
        <w:rPr>
          <w:sz w:val="20"/>
          <w:lang w:val="pl-PL"/>
        </w:rPr>
      </w:pPr>
      <w:r w:rsidRPr="006F26B4">
        <w:rPr>
          <w:sz w:val="20"/>
          <w:lang w:val="pl-PL"/>
        </w:rPr>
        <w:t xml:space="preserve">Pełen raport dostępny jest na </w:t>
      </w:r>
      <w:hyperlink r:id="rId13" w:history="1">
        <w:r w:rsidRPr="006F26B4">
          <w:rPr>
            <w:rStyle w:val="Hipercze"/>
            <w:b/>
            <w:color w:val="4F2D7F" w:themeColor="accent1"/>
            <w:sz w:val="20"/>
            <w:lang w:val="pl-PL"/>
          </w:rPr>
          <w:t>www.GrantThornton.pl</w:t>
        </w:r>
      </w:hyperlink>
      <w:r w:rsidRPr="006F26B4">
        <w:rPr>
          <w:b/>
          <w:color w:val="4F2D7F" w:themeColor="accent1"/>
          <w:sz w:val="20"/>
          <w:lang w:val="pl-PL"/>
        </w:rPr>
        <w:t>.</w:t>
      </w:r>
    </w:p>
    <w:p w:rsidR="001308F2" w:rsidRDefault="001308F2" w:rsidP="007A5040">
      <w:pPr>
        <w:pStyle w:val="Nagwek2"/>
        <w:rPr>
          <w:color w:val="4F2D7F"/>
          <w:lang w:val="pl-PL"/>
        </w:rPr>
      </w:pPr>
    </w:p>
    <w:p w:rsidR="007A5040" w:rsidRPr="006F26B4" w:rsidRDefault="007A5040" w:rsidP="007A5040">
      <w:pPr>
        <w:pStyle w:val="Nagwek2"/>
        <w:rPr>
          <w:color w:val="4F2D7F"/>
          <w:lang w:val="pl-PL"/>
        </w:rPr>
      </w:pPr>
      <w:r w:rsidRPr="006F26B4">
        <w:rPr>
          <w:color w:val="4F2D7F"/>
          <w:lang w:val="pl-PL"/>
        </w:rPr>
        <w:t>Zachęcamy do kontaktu:</w:t>
      </w:r>
    </w:p>
    <w:p w:rsidR="007A5040" w:rsidRPr="006F26B4" w:rsidRDefault="007A5040" w:rsidP="007A5040">
      <w:pPr>
        <w:pStyle w:val="Tekstpodstawowy"/>
        <w:rPr>
          <w:b/>
          <w:lang w:val="pl-PL"/>
        </w:rPr>
      </w:pPr>
      <w:r w:rsidRPr="006F26B4">
        <w:rPr>
          <w:b/>
          <w:lang w:val="pl-PL"/>
        </w:rPr>
        <w:t>Jacek Kowalczyk</w:t>
      </w:r>
    </w:p>
    <w:p w:rsidR="007A5040" w:rsidRPr="006F26B4" w:rsidRDefault="007A5040" w:rsidP="007A5040">
      <w:pPr>
        <w:pStyle w:val="Tekstpodstawowy"/>
        <w:rPr>
          <w:lang w:val="pl-PL"/>
        </w:rPr>
      </w:pPr>
      <w:r w:rsidRPr="006F26B4">
        <w:rPr>
          <w:lang w:val="pl-PL"/>
        </w:rPr>
        <w:t>Dyrektor ds. Marketingu i PR</w:t>
      </w:r>
    </w:p>
    <w:p w:rsidR="007A5040" w:rsidRPr="006F26B4" w:rsidRDefault="007A5040" w:rsidP="007A5040">
      <w:pPr>
        <w:pStyle w:val="Tekstpodstawowy"/>
        <w:rPr>
          <w:lang w:val="pl-PL"/>
        </w:rPr>
      </w:pPr>
      <w:r w:rsidRPr="006F26B4">
        <w:rPr>
          <w:lang w:val="pl-PL"/>
        </w:rPr>
        <w:t>Grant Thornton</w:t>
      </w:r>
    </w:p>
    <w:p w:rsidR="007A5040" w:rsidRPr="006F26B4" w:rsidRDefault="007A5040" w:rsidP="007A5040">
      <w:pPr>
        <w:pStyle w:val="Tekstpodstawowy"/>
        <w:rPr>
          <w:lang w:val="pl-PL"/>
        </w:rPr>
      </w:pPr>
      <w:r w:rsidRPr="006F26B4">
        <w:rPr>
          <w:b/>
          <w:lang w:val="pl-PL"/>
        </w:rPr>
        <w:t xml:space="preserve">T </w:t>
      </w:r>
      <w:r w:rsidRPr="006F26B4">
        <w:rPr>
          <w:lang w:val="pl-PL"/>
        </w:rPr>
        <w:t>505 024 168, 22 205 48 41</w:t>
      </w:r>
    </w:p>
    <w:p w:rsidR="007A5040" w:rsidRPr="006F26B4" w:rsidRDefault="007A5040" w:rsidP="007A5040">
      <w:pPr>
        <w:pStyle w:val="Tekstpodstawowy"/>
        <w:rPr>
          <w:lang w:val="pl-PL"/>
        </w:rPr>
      </w:pPr>
      <w:r w:rsidRPr="006F26B4">
        <w:rPr>
          <w:b/>
          <w:lang w:val="pl-PL"/>
        </w:rPr>
        <w:t xml:space="preserve">E </w:t>
      </w:r>
      <w:r w:rsidRPr="006F26B4">
        <w:rPr>
          <w:lang w:val="pl-PL"/>
        </w:rPr>
        <w:t>jacek.kowalczyk@pl.gt.com</w:t>
      </w:r>
    </w:p>
    <w:p w:rsidR="007A5040" w:rsidRPr="006F26B4" w:rsidRDefault="007A5040" w:rsidP="007A5040">
      <w:pPr>
        <w:pStyle w:val="Nagwek3"/>
        <w:rPr>
          <w:lang w:val="pl-PL"/>
        </w:rPr>
      </w:pPr>
    </w:p>
    <w:p w:rsidR="007A5040" w:rsidRPr="006F26B4" w:rsidRDefault="007A5040" w:rsidP="007A5040">
      <w:pPr>
        <w:pStyle w:val="Nagwek4"/>
        <w:rPr>
          <w:b/>
          <w:lang w:val="pl-PL"/>
        </w:rPr>
      </w:pPr>
      <w:r w:rsidRPr="006F26B4">
        <w:rPr>
          <w:b/>
          <w:lang w:val="pl-PL"/>
        </w:rPr>
        <w:t>O Grant Thornton</w:t>
      </w:r>
    </w:p>
    <w:p w:rsidR="007A5040" w:rsidRPr="006F26B4" w:rsidRDefault="007A5040" w:rsidP="007A5040">
      <w:pPr>
        <w:pStyle w:val="Tekstpodstawowy"/>
        <w:rPr>
          <w:lang w:val="pl-PL"/>
        </w:rPr>
      </w:pPr>
      <w:r w:rsidRPr="006F26B4">
        <w:rPr>
          <w:b/>
          <w:lang w:val="pl-PL"/>
        </w:rPr>
        <w:t>Grant Thornton</w:t>
      </w:r>
      <w:r w:rsidRPr="006F26B4">
        <w:rPr>
          <w:lang w:val="pl-PL"/>
        </w:rPr>
        <w:t xml:space="preserve"> to jedna z wiodących organizacji audytorsko-doradczych na świecie. Wiedza, doświadczenie</w:t>
      </w:r>
      <w:r w:rsidRPr="006F26B4">
        <w:rPr>
          <w:lang w:val="pl-PL"/>
        </w:rPr>
        <w:br/>
        <w:t xml:space="preserve"> i zaangażowan</w:t>
      </w:r>
      <w:r w:rsidR="00DB5FA3" w:rsidRPr="006F26B4">
        <w:rPr>
          <w:lang w:val="pl-PL"/>
        </w:rPr>
        <w:t>ie ponad 3 000 partnerów oraz 50</w:t>
      </w:r>
      <w:r w:rsidRPr="006F26B4">
        <w:rPr>
          <w:lang w:val="pl-PL"/>
        </w:rPr>
        <w:t xml:space="preserve"> 000 pracowników Grant Thornton dost</w:t>
      </w:r>
      <w:r w:rsidR="00DB5FA3" w:rsidRPr="006F26B4">
        <w:rPr>
          <w:lang w:val="pl-PL"/>
        </w:rPr>
        <w:t>ępne są dla klientów w ponad 136</w:t>
      </w:r>
      <w:r w:rsidRPr="006F26B4">
        <w:rPr>
          <w:lang w:val="pl-PL"/>
        </w:rPr>
        <w:t xml:space="preserve"> </w:t>
      </w:r>
      <w:r w:rsidR="00DB5FA3" w:rsidRPr="006F26B4">
        <w:rPr>
          <w:lang w:val="pl-PL"/>
        </w:rPr>
        <w:t>krajach. W Polsce działamy od 25 lat, a 550</w:t>
      </w:r>
      <w:r w:rsidRPr="006F26B4">
        <w:rPr>
          <w:lang w:val="pl-PL"/>
        </w:rPr>
        <w:t xml:space="preserve">-osobowy zespół oraz obecność w kluczowych aglomeracjach (Warszawa, Poznań, Katowice, Wrocław, Kraków i Toruń) zapewniają nam bliski kontakt z klientami oraz umożliwiają realizację wymagających projektów w obszarze usług audytorskich, doradztwa podatkowego, doradztwa gospodarczego, prawnego oraz outsourcingu rachunkowości, kadr i płac bez względu na wielkość, rodzaj i lokalizację biznesu klienta. Klienci firmy to ponad 1000 podmiotów, w tym kilkadziesiąt spółek notowanych na GPW oraz firmy z top 500 największych przedsiębiorstw </w:t>
      </w:r>
      <w:r w:rsidRPr="006F26B4">
        <w:rPr>
          <w:lang w:val="pl-PL"/>
        </w:rPr>
        <w:lastRenderedPageBreak/>
        <w:t xml:space="preserve">działających w naszym kraju. Grant Thornton jest wyłącznym partnerem Grant Thornton International w Polsce. Więcej informacji na </w:t>
      </w:r>
      <w:hyperlink r:id="rId14" w:history="1">
        <w:r w:rsidRPr="006F26B4">
          <w:rPr>
            <w:rStyle w:val="Hipercze"/>
            <w:lang w:val="pl-PL"/>
          </w:rPr>
          <w:t>www.grantthornton.pl</w:t>
        </w:r>
      </w:hyperlink>
      <w:r w:rsidRPr="006F26B4">
        <w:rPr>
          <w:lang w:val="pl-PL"/>
        </w:rPr>
        <w:t xml:space="preserve"> </w:t>
      </w:r>
    </w:p>
    <w:p w:rsidR="007A5040" w:rsidRPr="006F26B4" w:rsidRDefault="007A5040" w:rsidP="007A5040">
      <w:pPr>
        <w:pStyle w:val="Tekstpodstawowy"/>
        <w:rPr>
          <w:u w:val="single"/>
          <w:lang w:val="pl-PL"/>
        </w:rPr>
      </w:pPr>
      <w:r w:rsidRPr="006F26B4">
        <w:rPr>
          <w:b/>
          <w:lang w:val="pl-PL"/>
        </w:rPr>
        <w:t>Grant Thornton International Ltd</w:t>
      </w:r>
      <w:r w:rsidRPr="006F26B4">
        <w:rPr>
          <w:lang w:val="pl-PL"/>
        </w:rPr>
        <w:t xml:space="preserve">. (GTI) jest jedną z wiodących światowych organizacji, zrzeszającą firmy księgowe </w:t>
      </w:r>
      <w:r w:rsidRPr="006F26B4">
        <w:rPr>
          <w:lang w:val="pl-PL"/>
        </w:rPr>
        <w:br/>
        <w:t xml:space="preserve">i doradcze, oferujące usługi poświadczające, doradztwa podatkowego, a także udzielające specjalistycznych porad dla przedsiębiorców prywatnych i jednostek interesu publicznego. Więcej informacji na </w:t>
      </w:r>
      <w:hyperlink r:id="rId15" w:history="1">
        <w:r w:rsidRPr="006F26B4">
          <w:rPr>
            <w:rStyle w:val="Hipercze"/>
            <w:lang w:val="pl-PL"/>
          </w:rPr>
          <w:t>www.gti.org</w:t>
        </w:r>
      </w:hyperlink>
    </w:p>
    <w:p w:rsidR="007A5040" w:rsidRPr="006F26B4" w:rsidRDefault="007A5040" w:rsidP="007A5040">
      <w:pPr>
        <w:pStyle w:val="Tekstpodstawowy"/>
        <w:rPr>
          <w:lang w:val="pl-PL"/>
        </w:rPr>
      </w:pPr>
    </w:p>
    <w:p w:rsidR="00E50D26" w:rsidRPr="006F26B4" w:rsidRDefault="00E50D26" w:rsidP="001A7C86">
      <w:pPr>
        <w:rPr>
          <w:lang w:val="pl-PL"/>
        </w:rPr>
      </w:pPr>
    </w:p>
    <w:sectPr w:rsidR="00E50D26" w:rsidRPr="006F26B4" w:rsidSect="00E50D26">
      <w:headerReference w:type="default" r:id="rId16"/>
      <w:footerReference w:type="default" r:id="rId17"/>
      <w:headerReference w:type="first" r:id="rId18"/>
      <w:footerReference w:type="first" r:id="rId19"/>
      <w:pgSz w:w="11907" w:h="16839" w:code="9"/>
      <w:pgMar w:top="2269" w:right="890" w:bottom="1276" w:left="890" w:header="680" w:footer="4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726" w:rsidRDefault="00891726">
      <w:r>
        <w:separator/>
      </w:r>
    </w:p>
  </w:endnote>
  <w:endnote w:type="continuationSeparator" w:id="0">
    <w:p w:rsidR="00891726" w:rsidRDefault="0089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A6" w:rsidRPr="00C14BA6" w:rsidRDefault="00C14BA6" w:rsidP="00C14BA6">
    <w:pPr>
      <w:pStyle w:val="Stopka"/>
      <w:rPr>
        <w:b/>
      </w:rPr>
    </w:pPr>
  </w:p>
  <w:p w:rsidR="00C14BA6" w:rsidRDefault="00C14BA6" w:rsidP="00E67B14">
    <w:pPr>
      <w:tabs>
        <w:tab w:val="right" w:pos="8636"/>
      </w:tabs>
      <w:spacing w:after="0" w:line="240" w:lineRule="auto"/>
      <w:rPr>
        <w:rFonts w:cstheme="minorHAnsi"/>
        <w:color w:val="747678" w:themeColor="background2"/>
        <w:sz w:val="12"/>
        <w:szCs w:val="16"/>
        <w:lang w:val="pl-PL"/>
      </w:rPr>
    </w:pPr>
    <w:r w:rsidRPr="00C14BA6">
      <w:rPr>
        <w:rFonts w:cstheme="minorHAnsi"/>
        <w:color w:val="747678" w:themeColor="background2"/>
        <w:sz w:val="12"/>
        <w:szCs w:val="16"/>
        <w:lang w:val="pl-PL"/>
      </w:rPr>
      <w:t xml:space="preserve">© Grant Thornton. </w:t>
    </w:r>
    <w:r w:rsidRPr="00C14BA6">
      <w:rPr>
        <w:rFonts w:cstheme="minorHAnsi"/>
        <w:noProof/>
        <w:color w:val="747678" w:themeColor="background2"/>
        <w:sz w:val="12"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5E7D709" wp14:editId="6A31584C">
              <wp:simplePos x="0" y="0"/>
              <wp:positionH relativeFrom="margin">
                <wp:posOffset>0</wp:posOffset>
              </wp:positionH>
              <wp:positionV relativeFrom="paragraph">
                <wp:posOffset>-71755</wp:posOffset>
              </wp:positionV>
              <wp:extent cx="1508400" cy="0"/>
              <wp:effectExtent l="0" t="0" r="15875" b="19050"/>
              <wp:wrapNone/>
              <wp:docPr id="5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084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2D7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BDDA56" id="Straight Connector 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5.65pt" to="118.7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" strokecolor="#4f2d7f" strokeweight="1.5pt">
              <w10:wrap anchorx="margin"/>
              <w10:anchorlock/>
            </v:line>
          </w:pict>
        </mc:Fallback>
      </mc:AlternateContent>
    </w:r>
    <w:r>
      <w:rPr>
        <w:rFonts w:cstheme="minorHAnsi"/>
        <w:color w:val="747678" w:themeColor="background2"/>
        <w:sz w:val="12"/>
        <w:szCs w:val="16"/>
        <w:lang w:val="pl-PL"/>
      </w:rPr>
      <w:t>Wszystkie prawa zastrzeżone</w:t>
    </w:r>
  </w:p>
  <w:p w:rsidR="00C14BA6" w:rsidRPr="00C14BA6" w:rsidRDefault="00C14BA6" w:rsidP="00C14BA6">
    <w:pPr>
      <w:tabs>
        <w:tab w:val="right" w:pos="8636"/>
      </w:tabs>
      <w:spacing w:after="0" w:line="240" w:lineRule="auto"/>
      <w:jc w:val="right"/>
      <w:rPr>
        <w:rFonts w:ascii="Arial" w:hAnsi="Arial" w:cstheme="minorHAnsi"/>
        <w:color w:val="747678" w:themeColor="background2"/>
        <w:sz w:val="13"/>
        <w:szCs w:val="16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A6" w:rsidRDefault="00C14BA6" w:rsidP="00887334">
    <w:pPr>
      <w:pStyle w:val="Nagwek"/>
    </w:pPr>
  </w:p>
  <w:p w:rsidR="00C14BA6" w:rsidRPr="00C14BA6" w:rsidRDefault="00C14BA6" w:rsidP="0083039F">
    <w:pPr>
      <w:pStyle w:val="Stopka"/>
      <w:jc w:val="left"/>
      <w:rPr>
        <w:b/>
        <w:sz w:val="4"/>
      </w:rPr>
    </w:pPr>
    <w:r w:rsidRPr="00D96EDA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6944" behindDoc="0" locked="1" layoutInCell="1" allowOverlap="1" wp14:anchorId="2EF53151" wp14:editId="0F71CC84">
              <wp:simplePos x="0" y="0"/>
              <wp:positionH relativeFrom="margin">
                <wp:posOffset>0</wp:posOffset>
              </wp:positionH>
              <wp:positionV relativeFrom="paragraph">
                <wp:posOffset>-71755</wp:posOffset>
              </wp:positionV>
              <wp:extent cx="1508125" cy="0"/>
              <wp:effectExtent l="0" t="0" r="15875" b="19050"/>
              <wp:wrapNone/>
              <wp:docPr id="3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081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2D7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A52096" id="Straight Connector 2" o:spid="_x0000_s1026" style="position:absolute;z-index:251666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5.65pt" to="118.7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" strokecolor="#4f2d7f" strokeweight="1.5pt">
              <w10:wrap anchorx="margin"/>
              <w10:anchorlock/>
            </v:line>
          </w:pict>
        </mc:Fallback>
      </mc:AlternateContent>
    </w:r>
    <w:proofErr w:type="spellStart"/>
    <w:r w:rsidRPr="007A5040">
      <w:rPr>
        <w:b/>
      </w:rPr>
      <w:t>Audyt</w:t>
    </w:r>
    <w:proofErr w:type="spellEnd"/>
    <w:r w:rsidRPr="00C14BA6">
      <w:rPr>
        <w:b/>
      </w:rPr>
      <w:t xml:space="preserve"> – </w:t>
    </w:r>
    <w:proofErr w:type="spellStart"/>
    <w:r w:rsidRPr="007A5040">
      <w:rPr>
        <w:b/>
      </w:rPr>
      <w:t>Podatki</w:t>
    </w:r>
    <w:proofErr w:type="spellEnd"/>
    <w:r w:rsidRPr="00C14BA6">
      <w:rPr>
        <w:b/>
      </w:rPr>
      <w:t xml:space="preserve"> – Outsourcing – </w:t>
    </w:r>
    <w:r w:rsidRPr="007A5040">
      <w:rPr>
        <w:b/>
      </w:rPr>
      <w:t>Doradztwo</w:t>
    </w:r>
  </w:p>
  <w:p w:rsidR="00C14BA6" w:rsidRPr="001A7C86" w:rsidRDefault="00C14BA6" w:rsidP="00A41E8A">
    <w:pPr>
      <w:pStyle w:val="Stopka"/>
      <w:jc w:val="left"/>
    </w:pPr>
    <w:r w:rsidRPr="001A7C86">
      <w:t>Member of Grant Thornton International Ltd</w:t>
    </w:r>
  </w:p>
  <w:p w:rsidR="00C14BA6" w:rsidRPr="00C14BA6" w:rsidRDefault="00C14BA6" w:rsidP="0083039F">
    <w:pPr>
      <w:pStyle w:val="LetterFooter"/>
      <w:rPr>
        <w:rFonts w:asciiTheme="minorHAnsi" w:hAnsiTheme="minorHAnsi" w:cstheme="minorHAnsi"/>
      </w:rPr>
    </w:pPr>
  </w:p>
  <w:p w:rsidR="00C14BA6" w:rsidRPr="00A41E8A" w:rsidRDefault="00C14BA6" w:rsidP="0083039F">
    <w:pPr>
      <w:pStyle w:val="Stopka"/>
      <w:jc w:val="left"/>
      <w:rPr>
        <w:b/>
        <w:lang w:val="pl-PL"/>
      </w:rPr>
    </w:pPr>
    <w:r w:rsidRPr="00A41E8A">
      <w:rPr>
        <w:b/>
        <w:lang w:val="pl-PL"/>
      </w:rPr>
      <w:t xml:space="preserve">Grant Thornton Frąckowiak spółka z ograniczoną odpowiedzialnością sp. k. </w:t>
    </w:r>
    <w:r w:rsidR="002F0C85">
      <w:rPr>
        <w:b/>
        <w:lang w:val="pl-PL"/>
      </w:rPr>
      <w:t>firma audytorska</w:t>
    </w:r>
    <w:r w:rsidRPr="00A41E8A">
      <w:rPr>
        <w:b/>
        <w:lang w:val="pl-PL"/>
      </w:rPr>
      <w:t xml:space="preserve"> nr 3654. </w:t>
    </w:r>
    <w:r w:rsidRPr="00A41E8A">
      <w:rPr>
        <w:b/>
        <w:lang w:val="pl-PL"/>
      </w:rPr>
      <w:br/>
      <w:t xml:space="preserve">Komplementariusz: Grant Thornton Frąckowiak sp. z o.o. Zarząd komplementariusza: </w:t>
    </w:r>
    <w:r w:rsidR="00887334">
      <w:rPr>
        <w:b/>
        <w:lang w:val="pl-PL"/>
      </w:rPr>
      <w:t>Tomasz Wróblewski</w:t>
    </w:r>
    <w:r w:rsidRPr="00A41E8A">
      <w:rPr>
        <w:b/>
        <w:lang w:val="pl-PL"/>
      </w:rPr>
      <w:t xml:space="preserve"> – Prezes Zarządu, </w:t>
    </w:r>
    <w:r w:rsidR="00B904FE">
      <w:rPr>
        <w:b/>
        <w:lang w:val="pl-PL"/>
      </w:rPr>
      <w:t>Dariusz Be</w:t>
    </w:r>
    <w:r w:rsidR="00887334">
      <w:rPr>
        <w:b/>
        <w:lang w:val="pl-PL"/>
      </w:rPr>
      <w:t>d</w:t>
    </w:r>
    <w:r w:rsidR="00B904FE">
      <w:rPr>
        <w:b/>
        <w:lang w:val="pl-PL"/>
      </w:rPr>
      <w:t>n</w:t>
    </w:r>
    <w:r w:rsidR="00887334">
      <w:rPr>
        <w:b/>
        <w:lang w:val="pl-PL"/>
      </w:rPr>
      <w:t xml:space="preserve">arski </w:t>
    </w:r>
    <w:r w:rsidR="00B904FE">
      <w:rPr>
        <w:b/>
        <w:lang w:val="pl-PL"/>
      </w:rPr>
      <w:t xml:space="preserve"> – Wiceprezes Zarządu, </w:t>
    </w:r>
    <w:r w:rsidR="00E67B14">
      <w:rPr>
        <w:b/>
        <w:lang w:val="pl-PL"/>
      </w:rPr>
      <w:br/>
    </w:r>
    <w:r w:rsidR="00B904FE">
      <w:rPr>
        <w:b/>
        <w:lang w:val="pl-PL"/>
      </w:rPr>
      <w:t xml:space="preserve">Jan Letkiewicz </w:t>
    </w:r>
    <w:r w:rsidR="00B904FE" w:rsidRPr="00A41E8A">
      <w:rPr>
        <w:b/>
        <w:lang w:val="pl-PL"/>
      </w:rPr>
      <w:t xml:space="preserve"> – Wiceprezes Zarządu. </w:t>
    </w:r>
    <w:r w:rsidRPr="00A41E8A">
      <w:rPr>
        <w:b/>
        <w:lang w:val="pl-PL"/>
      </w:rPr>
      <w:t xml:space="preserve"> </w:t>
    </w:r>
    <w:r w:rsidRPr="00A41E8A">
      <w:rPr>
        <w:b/>
        <w:lang w:val="pl-PL"/>
      </w:rPr>
      <w:br/>
      <w:t xml:space="preserve">Adres siedziby: 61-131 Poznań, ul. Abpa Antoniego Baraniaka 88 E. NIP: 778-14-76-013, REGON: 301591100. Rachunek bankowy: </w:t>
    </w:r>
    <w:r w:rsidR="005663FE" w:rsidRPr="005663FE">
      <w:rPr>
        <w:b/>
        <w:lang w:val="pl-PL"/>
      </w:rPr>
      <w:t>05 1090 1359 0000 0001 1915 7406</w:t>
    </w:r>
    <w:r w:rsidRPr="00A41E8A">
      <w:rPr>
        <w:b/>
        <w:lang w:val="pl-PL"/>
      </w:rPr>
      <w:t xml:space="preserve">. </w:t>
    </w:r>
    <w:r w:rsidRPr="00A41E8A">
      <w:rPr>
        <w:b/>
        <w:lang w:val="pl-PL"/>
      </w:rPr>
      <w:br/>
      <w:t>Sąd Rejonowy Poznań – Nowe Miasto i Wilda w Poznaniu, VIII Wydział Gospodarczy, nr KRS 0000369868.</w:t>
    </w:r>
  </w:p>
  <w:p w:rsidR="00C14BA6" w:rsidRPr="007A5040" w:rsidRDefault="00C14BA6">
    <w:pPr>
      <w:pStyle w:val="Stopka"/>
      <w:rPr>
        <w:b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726" w:rsidRDefault="00891726">
      <w:r>
        <w:separator/>
      </w:r>
    </w:p>
  </w:footnote>
  <w:footnote w:type="continuationSeparator" w:id="0">
    <w:p w:rsidR="00891726" w:rsidRDefault="00891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A6" w:rsidRDefault="00C14BA6">
    <w:pPr>
      <w:pStyle w:val="Nagwek"/>
    </w:pPr>
    <w:bookmarkStart w:id="1" w:name="Cover_tbl"/>
    <w:r>
      <w:rPr>
        <w:noProof/>
        <w:lang w:val="pl-PL" w:eastAsia="pl-PL"/>
      </w:rPr>
      <w:drawing>
        <wp:inline distT="0" distB="0" distL="0" distR="0" wp14:anchorId="5DBEA7F3" wp14:editId="763E0F8F">
          <wp:extent cx="2036068" cy="627889"/>
          <wp:effectExtent l="0" t="0" r="2540" b="1270"/>
          <wp:docPr id="9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_Logo_METRIC_201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6068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A6" w:rsidRDefault="00C14BA6">
    <w:pPr>
      <w:pStyle w:val="Nagwek"/>
    </w:pPr>
    <w:r>
      <w:rPr>
        <w:noProof/>
        <w:lang w:val="pl-PL" w:eastAsia="pl-PL"/>
      </w:rPr>
      <w:drawing>
        <wp:inline distT="0" distB="0" distL="0" distR="0" wp14:anchorId="02154842" wp14:editId="0581CDFE">
          <wp:extent cx="2036068" cy="627889"/>
          <wp:effectExtent l="0" t="0" r="2540" b="1270"/>
          <wp:docPr id="9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_Logo_METRIC_201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6068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D663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86255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832BEA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77C0F8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6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7" w15:restartNumberingAfterBreak="0">
    <w:nsid w:val="1A933704"/>
    <w:multiLevelType w:val="multilevel"/>
    <w:tmpl w:val="8460F8B0"/>
    <w:numStyleLink w:val="GTTableBullets"/>
  </w:abstractNum>
  <w:abstractNum w:abstractNumId="8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9" w15:restartNumberingAfterBreak="0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3BA976CF"/>
    <w:multiLevelType w:val="multilevel"/>
    <w:tmpl w:val="98FC98AC"/>
    <w:numStyleLink w:val="GTListNumber"/>
  </w:abstractNum>
  <w:abstractNum w:abstractNumId="11" w15:restartNumberingAfterBreak="0">
    <w:nsid w:val="52BD6E2A"/>
    <w:multiLevelType w:val="multilevel"/>
    <w:tmpl w:val="98FC98AC"/>
    <w:styleLink w:val="GTListNumber"/>
    <w:lvl w:ilvl="0">
      <w:start w:val="1"/>
      <w:numFmt w:val="decimal"/>
      <w:pStyle w:val="Listanumerowan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anumerowana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5DDB5E6E"/>
    <w:multiLevelType w:val="multilevel"/>
    <w:tmpl w:val="CE6E0156"/>
    <w:numStyleLink w:val="GTListBullet"/>
  </w:abstractNum>
  <w:abstractNum w:abstractNumId="13" w15:restartNumberingAfterBreak="0">
    <w:nsid w:val="61BC3D3D"/>
    <w:multiLevelType w:val="multilevel"/>
    <w:tmpl w:val="CE6E0156"/>
    <w:styleLink w:val="GTListBullet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4" w15:restartNumberingAfterBreak="0">
    <w:nsid w:val="7F924C95"/>
    <w:multiLevelType w:val="multilevel"/>
    <w:tmpl w:val="0D561ACA"/>
    <w:numStyleLink w:val="GTNumberedHeadings"/>
  </w:abstractNum>
  <w:num w:numId="1">
    <w:abstractNumId w:val="13"/>
  </w:num>
  <w:num w:numId="2">
    <w:abstractNumId w:val="11"/>
  </w:num>
  <w:num w:numId="3">
    <w:abstractNumId w:val="6"/>
  </w:num>
  <w:num w:numId="4">
    <w:abstractNumId w:val="5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  <w:num w:numId="13">
    <w:abstractNumId w:val="7"/>
  </w:num>
  <w:num w:numId="14">
    <w:abstractNumId w:val="8"/>
  </w:num>
  <w:num w:numId="15">
    <w:abstractNumId w:val="14"/>
  </w:num>
  <w:num w:numId="16">
    <w:abstractNumId w:val="10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2NDe3NDI2NbYwMjBR0lEKTi0uzszPAykwqQUA3E9oUywAAAA="/>
    <w:docVar w:name="dv_confidentiality" w:val="© 2011 Grant Thornton International Ltd. All rights reserved."/>
    <w:docVar w:name="dv_logo_file" w:val="GTlogo-RGB-135.jpg"/>
    <w:docVar w:name="dv_logo2_file" w:val="GTlogo-RGB9mm.jpg"/>
    <w:docVar w:name="dv_page_header" w:val="Header"/>
    <w:docVar w:name="dv_partners" w:val="false"/>
    <w:docVar w:name="dv_select_office" w:val="TRUE"/>
    <w:docVar w:name="dv_senders_designation" w:val="For Grant Thornton International"/>
    <w:docVar w:name="dv_statement" w:val="© 2011 Grant Thornton International Ltd. All rights reserved."/>
    <w:docVar w:name="dv_trad_addr" w:val="Address Line 1_x000d__x000a_Address Line 2_x000d__x000a_Address Line 3_x000d__x000a_Address Line 4"/>
    <w:docVar w:name="dv_trad_fax" w:val="+XX (X)XX XXX XXXX"/>
    <w:docVar w:name="dv_trad_name" w:val="Trading Name"/>
    <w:docVar w:name="dv_trad_tel" w:val="+XX (X)XX XXX XXXX"/>
    <w:docVar w:name="dv_trad_web" w:val="www.gti.org"/>
  </w:docVars>
  <w:rsids>
    <w:rsidRoot w:val="007A5040"/>
    <w:rsid w:val="00013749"/>
    <w:rsid w:val="0001412C"/>
    <w:rsid w:val="00047137"/>
    <w:rsid w:val="00050414"/>
    <w:rsid w:val="00060EC9"/>
    <w:rsid w:val="00067FBE"/>
    <w:rsid w:val="0007363B"/>
    <w:rsid w:val="0007494B"/>
    <w:rsid w:val="00075825"/>
    <w:rsid w:val="0007794F"/>
    <w:rsid w:val="000A2985"/>
    <w:rsid w:val="000A4DFB"/>
    <w:rsid w:val="000A5471"/>
    <w:rsid w:val="000B2B17"/>
    <w:rsid w:val="000D61DD"/>
    <w:rsid w:val="000D7C10"/>
    <w:rsid w:val="000E4C3C"/>
    <w:rsid w:val="00104641"/>
    <w:rsid w:val="001308F2"/>
    <w:rsid w:val="001327E5"/>
    <w:rsid w:val="001347BC"/>
    <w:rsid w:val="001366D0"/>
    <w:rsid w:val="00143EB2"/>
    <w:rsid w:val="00151C5A"/>
    <w:rsid w:val="001547A7"/>
    <w:rsid w:val="001558F7"/>
    <w:rsid w:val="0015731C"/>
    <w:rsid w:val="00160746"/>
    <w:rsid w:val="00167CAC"/>
    <w:rsid w:val="0017467E"/>
    <w:rsid w:val="00181F25"/>
    <w:rsid w:val="0018286E"/>
    <w:rsid w:val="00187A66"/>
    <w:rsid w:val="00192CE7"/>
    <w:rsid w:val="00197471"/>
    <w:rsid w:val="0019793F"/>
    <w:rsid w:val="001A7C86"/>
    <w:rsid w:val="001B485F"/>
    <w:rsid w:val="001B6557"/>
    <w:rsid w:val="001C6783"/>
    <w:rsid w:val="001D0FE0"/>
    <w:rsid w:val="001D5D48"/>
    <w:rsid w:val="001E7FFB"/>
    <w:rsid w:val="001F10E0"/>
    <w:rsid w:val="001F1AF0"/>
    <w:rsid w:val="001F60FC"/>
    <w:rsid w:val="00205F8C"/>
    <w:rsid w:val="00211F40"/>
    <w:rsid w:val="0021621D"/>
    <w:rsid w:val="00223C38"/>
    <w:rsid w:val="00232894"/>
    <w:rsid w:val="00237BD1"/>
    <w:rsid w:val="00240935"/>
    <w:rsid w:val="0025205B"/>
    <w:rsid w:val="00254B3A"/>
    <w:rsid w:val="002578FF"/>
    <w:rsid w:val="00262326"/>
    <w:rsid w:val="0026290B"/>
    <w:rsid w:val="00263263"/>
    <w:rsid w:val="00273DB9"/>
    <w:rsid w:val="002D2DC5"/>
    <w:rsid w:val="002E2B91"/>
    <w:rsid w:val="002F0C85"/>
    <w:rsid w:val="002F0D72"/>
    <w:rsid w:val="002F1925"/>
    <w:rsid w:val="002F2027"/>
    <w:rsid w:val="003004FA"/>
    <w:rsid w:val="00300833"/>
    <w:rsid w:val="0030218D"/>
    <w:rsid w:val="003151A5"/>
    <w:rsid w:val="00320CF8"/>
    <w:rsid w:val="003462D8"/>
    <w:rsid w:val="003552AB"/>
    <w:rsid w:val="00355E7D"/>
    <w:rsid w:val="00364323"/>
    <w:rsid w:val="003704CE"/>
    <w:rsid w:val="003720FC"/>
    <w:rsid w:val="003762FC"/>
    <w:rsid w:val="00387F2F"/>
    <w:rsid w:val="00390019"/>
    <w:rsid w:val="00390DED"/>
    <w:rsid w:val="003B550A"/>
    <w:rsid w:val="003B5657"/>
    <w:rsid w:val="003C13F1"/>
    <w:rsid w:val="003D6ABF"/>
    <w:rsid w:val="00400DFB"/>
    <w:rsid w:val="00401CB2"/>
    <w:rsid w:val="00407FBE"/>
    <w:rsid w:val="00415BFD"/>
    <w:rsid w:val="00425244"/>
    <w:rsid w:val="0043260D"/>
    <w:rsid w:val="00435EA1"/>
    <w:rsid w:val="00441D97"/>
    <w:rsid w:val="00462B97"/>
    <w:rsid w:val="00471150"/>
    <w:rsid w:val="00476FEE"/>
    <w:rsid w:val="00481F79"/>
    <w:rsid w:val="004939BE"/>
    <w:rsid w:val="004952F5"/>
    <w:rsid w:val="004A652A"/>
    <w:rsid w:val="004A7137"/>
    <w:rsid w:val="004C10AD"/>
    <w:rsid w:val="004C1FE9"/>
    <w:rsid w:val="004C5370"/>
    <w:rsid w:val="004D1EB2"/>
    <w:rsid w:val="004D5F86"/>
    <w:rsid w:val="004E3A82"/>
    <w:rsid w:val="004E5F46"/>
    <w:rsid w:val="004F6078"/>
    <w:rsid w:val="00502087"/>
    <w:rsid w:val="00502217"/>
    <w:rsid w:val="0050322F"/>
    <w:rsid w:val="00513853"/>
    <w:rsid w:val="0051765E"/>
    <w:rsid w:val="00520717"/>
    <w:rsid w:val="00520B31"/>
    <w:rsid w:val="0052705B"/>
    <w:rsid w:val="00543A03"/>
    <w:rsid w:val="00553170"/>
    <w:rsid w:val="005663FE"/>
    <w:rsid w:val="00572072"/>
    <w:rsid w:val="00576254"/>
    <w:rsid w:val="005773A1"/>
    <w:rsid w:val="00585D4B"/>
    <w:rsid w:val="005A066F"/>
    <w:rsid w:val="005B1EAB"/>
    <w:rsid w:val="005B5292"/>
    <w:rsid w:val="005B65D4"/>
    <w:rsid w:val="005B7A11"/>
    <w:rsid w:val="005C1C5A"/>
    <w:rsid w:val="005C23C4"/>
    <w:rsid w:val="005C2C73"/>
    <w:rsid w:val="005C6CDE"/>
    <w:rsid w:val="005D2417"/>
    <w:rsid w:val="005E25CB"/>
    <w:rsid w:val="005E6FCA"/>
    <w:rsid w:val="005F7C6B"/>
    <w:rsid w:val="00617718"/>
    <w:rsid w:val="006311B1"/>
    <w:rsid w:val="00634500"/>
    <w:rsid w:val="00640481"/>
    <w:rsid w:val="0064317C"/>
    <w:rsid w:val="00643F48"/>
    <w:rsid w:val="0065033C"/>
    <w:rsid w:val="006633DC"/>
    <w:rsid w:val="006667B7"/>
    <w:rsid w:val="006805D5"/>
    <w:rsid w:val="006806FD"/>
    <w:rsid w:val="006909F2"/>
    <w:rsid w:val="00695694"/>
    <w:rsid w:val="006C286D"/>
    <w:rsid w:val="006C3454"/>
    <w:rsid w:val="006D3122"/>
    <w:rsid w:val="006D4904"/>
    <w:rsid w:val="006D70B5"/>
    <w:rsid w:val="006E3473"/>
    <w:rsid w:val="006E7DF0"/>
    <w:rsid w:val="006F26B4"/>
    <w:rsid w:val="006F6F69"/>
    <w:rsid w:val="00714D8F"/>
    <w:rsid w:val="00715888"/>
    <w:rsid w:val="007170B2"/>
    <w:rsid w:val="00721A36"/>
    <w:rsid w:val="00733C42"/>
    <w:rsid w:val="00743216"/>
    <w:rsid w:val="007501AA"/>
    <w:rsid w:val="00757103"/>
    <w:rsid w:val="007639D8"/>
    <w:rsid w:val="00775A42"/>
    <w:rsid w:val="00776338"/>
    <w:rsid w:val="00786789"/>
    <w:rsid w:val="007A3144"/>
    <w:rsid w:val="007A44D1"/>
    <w:rsid w:val="007A5040"/>
    <w:rsid w:val="007B1BB2"/>
    <w:rsid w:val="007B3A33"/>
    <w:rsid w:val="007B67FC"/>
    <w:rsid w:val="007D0128"/>
    <w:rsid w:val="007D0274"/>
    <w:rsid w:val="007D28B8"/>
    <w:rsid w:val="007D5956"/>
    <w:rsid w:val="007F4D9A"/>
    <w:rsid w:val="007F58F4"/>
    <w:rsid w:val="008012A2"/>
    <w:rsid w:val="00801676"/>
    <w:rsid w:val="00815CCE"/>
    <w:rsid w:val="00816EEF"/>
    <w:rsid w:val="008204EB"/>
    <w:rsid w:val="0083039F"/>
    <w:rsid w:val="00837726"/>
    <w:rsid w:val="00840490"/>
    <w:rsid w:val="008404BE"/>
    <w:rsid w:val="00854F3E"/>
    <w:rsid w:val="008645CA"/>
    <w:rsid w:val="008645E8"/>
    <w:rsid w:val="008750D6"/>
    <w:rsid w:val="008830CE"/>
    <w:rsid w:val="00887334"/>
    <w:rsid w:val="00891726"/>
    <w:rsid w:val="0089338D"/>
    <w:rsid w:val="00893520"/>
    <w:rsid w:val="00893B08"/>
    <w:rsid w:val="00895CF7"/>
    <w:rsid w:val="008A1CD0"/>
    <w:rsid w:val="008A5EEE"/>
    <w:rsid w:val="008B2749"/>
    <w:rsid w:val="008C4D0D"/>
    <w:rsid w:val="008D3A88"/>
    <w:rsid w:val="008E3B80"/>
    <w:rsid w:val="008F7583"/>
    <w:rsid w:val="009066CE"/>
    <w:rsid w:val="00907933"/>
    <w:rsid w:val="00911A06"/>
    <w:rsid w:val="00916489"/>
    <w:rsid w:val="00921B25"/>
    <w:rsid w:val="00923A87"/>
    <w:rsid w:val="00924017"/>
    <w:rsid w:val="0093057B"/>
    <w:rsid w:val="009433FC"/>
    <w:rsid w:val="00947FA4"/>
    <w:rsid w:val="00952FCA"/>
    <w:rsid w:val="00956405"/>
    <w:rsid w:val="009623AD"/>
    <w:rsid w:val="00966490"/>
    <w:rsid w:val="009826CB"/>
    <w:rsid w:val="00990285"/>
    <w:rsid w:val="00994A39"/>
    <w:rsid w:val="00994ECE"/>
    <w:rsid w:val="009A0405"/>
    <w:rsid w:val="009A5CCB"/>
    <w:rsid w:val="009A722E"/>
    <w:rsid w:val="009B7E3F"/>
    <w:rsid w:val="009C3FA4"/>
    <w:rsid w:val="009E53E7"/>
    <w:rsid w:val="009E6A78"/>
    <w:rsid w:val="009F30C4"/>
    <w:rsid w:val="009F5EF5"/>
    <w:rsid w:val="009F7EC2"/>
    <w:rsid w:val="00A17DF9"/>
    <w:rsid w:val="00A41E8A"/>
    <w:rsid w:val="00A4316A"/>
    <w:rsid w:val="00A45B6F"/>
    <w:rsid w:val="00A51555"/>
    <w:rsid w:val="00A53C7B"/>
    <w:rsid w:val="00A54401"/>
    <w:rsid w:val="00A73FF9"/>
    <w:rsid w:val="00A8074C"/>
    <w:rsid w:val="00AA3C3B"/>
    <w:rsid w:val="00AD076E"/>
    <w:rsid w:val="00AD07B3"/>
    <w:rsid w:val="00AD46BC"/>
    <w:rsid w:val="00AD47ED"/>
    <w:rsid w:val="00AE4B96"/>
    <w:rsid w:val="00AF220D"/>
    <w:rsid w:val="00AF2F43"/>
    <w:rsid w:val="00B00927"/>
    <w:rsid w:val="00B04BC4"/>
    <w:rsid w:val="00B1118C"/>
    <w:rsid w:val="00B3098B"/>
    <w:rsid w:val="00B30B06"/>
    <w:rsid w:val="00B32719"/>
    <w:rsid w:val="00B50EC3"/>
    <w:rsid w:val="00B51315"/>
    <w:rsid w:val="00B57ADB"/>
    <w:rsid w:val="00B72023"/>
    <w:rsid w:val="00B764EF"/>
    <w:rsid w:val="00B7721E"/>
    <w:rsid w:val="00B828CE"/>
    <w:rsid w:val="00B8501D"/>
    <w:rsid w:val="00B86408"/>
    <w:rsid w:val="00B904FE"/>
    <w:rsid w:val="00B93D83"/>
    <w:rsid w:val="00B95C52"/>
    <w:rsid w:val="00B975A1"/>
    <w:rsid w:val="00BB4622"/>
    <w:rsid w:val="00BB5787"/>
    <w:rsid w:val="00BC002E"/>
    <w:rsid w:val="00BD4D0B"/>
    <w:rsid w:val="00BE06BE"/>
    <w:rsid w:val="00BE2AF3"/>
    <w:rsid w:val="00BE7717"/>
    <w:rsid w:val="00BF5AC3"/>
    <w:rsid w:val="00C1089A"/>
    <w:rsid w:val="00C13A94"/>
    <w:rsid w:val="00C14BA6"/>
    <w:rsid w:val="00C15857"/>
    <w:rsid w:val="00C31F78"/>
    <w:rsid w:val="00C34649"/>
    <w:rsid w:val="00C40A43"/>
    <w:rsid w:val="00C42A61"/>
    <w:rsid w:val="00C4637C"/>
    <w:rsid w:val="00C476A1"/>
    <w:rsid w:val="00C655EE"/>
    <w:rsid w:val="00C70BCF"/>
    <w:rsid w:val="00C7575E"/>
    <w:rsid w:val="00C757E6"/>
    <w:rsid w:val="00C77D03"/>
    <w:rsid w:val="00C80390"/>
    <w:rsid w:val="00C9044B"/>
    <w:rsid w:val="00C94ED7"/>
    <w:rsid w:val="00CA7B49"/>
    <w:rsid w:val="00CB29C3"/>
    <w:rsid w:val="00CB3FF7"/>
    <w:rsid w:val="00CB4D27"/>
    <w:rsid w:val="00CB6C00"/>
    <w:rsid w:val="00CC2C31"/>
    <w:rsid w:val="00CD0668"/>
    <w:rsid w:val="00CD0945"/>
    <w:rsid w:val="00CD1174"/>
    <w:rsid w:val="00CD2293"/>
    <w:rsid w:val="00CD2462"/>
    <w:rsid w:val="00CD4E39"/>
    <w:rsid w:val="00CD55D0"/>
    <w:rsid w:val="00CD7DC9"/>
    <w:rsid w:val="00CE58E1"/>
    <w:rsid w:val="00CF2550"/>
    <w:rsid w:val="00CF4BA0"/>
    <w:rsid w:val="00D03287"/>
    <w:rsid w:val="00D21A0E"/>
    <w:rsid w:val="00D276A2"/>
    <w:rsid w:val="00D40003"/>
    <w:rsid w:val="00D47D0B"/>
    <w:rsid w:val="00D53953"/>
    <w:rsid w:val="00D61AD0"/>
    <w:rsid w:val="00D63DA3"/>
    <w:rsid w:val="00D64E0E"/>
    <w:rsid w:val="00D65105"/>
    <w:rsid w:val="00D7394A"/>
    <w:rsid w:val="00D91835"/>
    <w:rsid w:val="00D93691"/>
    <w:rsid w:val="00D9608F"/>
    <w:rsid w:val="00DB5FA3"/>
    <w:rsid w:val="00DC10F4"/>
    <w:rsid w:val="00DD1D27"/>
    <w:rsid w:val="00DD1DB7"/>
    <w:rsid w:val="00DE0967"/>
    <w:rsid w:val="00DE4E2E"/>
    <w:rsid w:val="00DE6FA4"/>
    <w:rsid w:val="00DF0D56"/>
    <w:rsid w:val="00DF6F8B"/>
    <w:rsid w:val="00DF7158"/>
    <w:rsid w:val="00E14093"/>
    <w:rsid w:val="00E23FAF"/>
    <w:rsid w:val="00E27915"/>
    <w:rsid w:val="00E30934"/>
    <w:rsid w:val="00E50D26"/>
    <w:rsid w:val="00E54014"/>
    <w:rsid w:val="00E547B4"/>
    <w:rsid w:val="00E67B14"/>
    <w:rsid w:val="00E74E1F"/>
    <w:rsid w:val="00E80CAC"/>
    <w:rsid w:val="00E9189D"/>
    <w:rsid w:val="00E95DDB"/>
    <w:rsid w:val="00EA0AD9"/>
    <w:rsid w:val="00EA6719"/>
    <w:rsid w:val="00EB4DDA"/>
    <w:rsid w:val="00EB57D0"/>
    <w:rsid w:val="00EB640F"/>
    <w:rsid w:val="00EC470D"/>
    <w:rsid w:val="00ED6EFF"/>
    <w:rsid w:val="00ED7503"/>
    <w:rsid w:val="00EF265F"/>
    <w:rsid w:val="00F02456"/>
    <w:rsid w:val="00F05979"/>
    <w:rsid w:val="00F10E4E"/>
    <w:rsid w:val="00F14981"/>
    <w:rsid w:val="00F340C4"/>
    <w:rsid w:val="00F44045"/>
    <w:rsid w:val="00F469D3"/>
    <w:rsid w:val="00F567A9"/>
    <w:rsid w:val="00F57864"/>
    <w:rsid w:val="00F62BF3"/>
    <w:rsid w:val="00F65A78"/>
    <w:rsid w:val="00F707A6"/>
    <w:rsid w:val="00F721CC"/>
    <w:rsid w:val="00F77E6C"/>
    <w:rsid w:val="00F81766"/>
    <w:rsid w:val="00F82369"/>
    <w:rsid w:val="00F8316C"/>
    <w:rsid w:val="00F8639A"/>
    <w:rsid w:val="00F959A7"/>
    <w:rsid w:val="00FA0071"/>
    <w:rsid w:val="00FA0F35"/>
    <w:rsid w:val="00FB0930"/>
    <w:rsid w:val="00FC1E0B"/>
    <w:rsid w:val="00FD59B1"/>
    <w:rsid w:val="00FE59D4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3B929F"/>
  <w15:docId w15:val="{685C5C73-D1B6-4D83-A929-5E1D0898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9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uiPriority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"/>
    <w:rsid w:val="007A5040"/>
    <w:pPr>
      <w:spacing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Nagwek1">
    <w:name w:val="heading 1"/>
    <w:basedOn w:val="Normalny"/>
    <w:next w:val="Tekstpodstawowy"/>
    <w:link w:val="Nagwek1Znak"/>
    <w:qFormat/>
    <w:rsid w:val="0015731C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Nagwek2">
    <w:name w:val="heading 2"/>
    <w:basedOn w:val="Nagwek1"/>
    <w:next w:val="Tekstpodstawowy"/>
    <w:link w:val="Nagwek2Znak"/>
    <w:qFormat/>
    <w:rsid w:val="0015731C"/>
    <w:pPr>
      <w:spacing w:line="320" w:lineRule="exact"/>
      <w:outlineLvl w:val="1"/>
    </w:pPr>
    <w:rPr>
      <w:bCs w:val="0"/>
      <w:sz w:val="26"/>
      <w:szCs w:val="19"/>
    </w:rPr>
  </w:style>
  <w:style w:type="paragraph" w:styleId="Nagwek3">
    <w:name w:val="heading 3"/>
    <w:basedOn w:val="Nagwek2"/>
    <w:next w:val="Tekstpodstawowy"/>
    <w:link w:val="Nagwek3Znak"/>
    <w:qFormat/>
    <w:rsid w:val="00B04BC4"/>
    <w:pPr>
      <w:spacing w:line="240" w:lineRule="atLeast"/>
      <w:outlineLvl w:val="2"/>
    </w:pPr>
    <w:rPr>
      <w:rFonts w:asciiTheme="minorHAnsi" w:hAnsiTheme="minorHAnsi" w:cstheme="minorHAnsi"/>
      <w:b/>
      <w:bCs/>
      <w:sz w:val="19"/>
      <w:szCs w:val="18"/>
    </w:rPr>
  </w:style>
  <w:style w:type="paragraph" w:styleId="Nagwek4">
    <w:name w:val="heading 4"/>
    <w:basedOn w:val="Nagwek3"/>
    <w:next w:val="Tekstpodstawowy"/>
    <w:link w:val="Nagwek4Znak"/>
    <w:qFormat/>
    <w:rsid w:val="0015731C"/>
    <w:pPr>
      <w:outlineLvl w:val="3"/>
    </w:pPr>
    <w:rPr>
      <w:b w:val="0"/>
      <w:bCs w:val="0"/>
      <w:sz w:val="18"/>
    </w:rPr>
  </w:style>
  <w:style w:type="paragraph" w:styleId="Nagwek5">
    <w:name w:val="heading 5"/>
    <w:basedOn w:val="Normalny"/>
    <w:next w:val="Normalny"/>
    <w:semiHidden/>
    <w:qFormat/>
    <w:rsid w:val="00B04BC4"/>
    <w:pPr>
      <w:numPr>
        <w:ilvl w:val="4"/>
        <w:numId w:val="5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Nagwek6">
    <w:name w:val="heading 6"/>
    <w:basedOn w:val="Normalny"/>
    <w:next w:val="Normalny"/>
    <w:semiHidden/>
    <w:qFormat/>
    <w:rsid w:val="00B04BC4"/>
    <w:pPr>
      <w:numPr>
        <w:ilvl w:val="5"/>
        <w:numId w:val="5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semiHidden/>
    <w:qFormat/>
    <w:rsid w:val="00B04BC4"/>
    <w:pPr>
      <w:numPr>
        <w:ilvl w:val="6"/>
        <w:numId w:val="5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semiHidden/>
    <w:qFormat/>
    <w:rsid w:val="00B04BC4"/>
    <w:pPr>
      <w:numPr>
        <w:ilvl w:val="7"/>
        <w:numId w:val="5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semiHidden/>
    <w:qFormat/>
    <w:rsid w:val="00B04BC4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15731C"/>
  </w:style>
  <w:style w:type="paragraph" w:styleId="Listapunktowana">
    <w:name w:val="List Bullet"/>
    <w:basedOn w:val="Normalny"/>
    <w:link w:val="ListapunktowanaZnak"/>
    <w:uiPriority w:val="1"/>
    <w:qFormat/>
    <w:rsid w:val="00364323"/>
    <w:pPr>
      <w:numPr>
        <w:numId w:val="17"/>
      </w:numPr>
    </w:pPr>
    <w:rPr>
      <w:lang w:val="pl-PL"/>
    </w:rPr>
  </w:style>
  <w:style w:type="paragraph" w:styleId="Listanumerowana">
    <w:name w:val="List Number"/>
    <w:basedOn w:val="Normalny"/>
    <w:uiPriority w:val="1"/>
    <w:qFormat/>
    <w:rsid w:val="0021621D"/>
    <w:pPr>
      <w:numPr>
        <w:numId w:val="16"/>
      </w:numPr>
    </w:pPr>
    <w:rPr>
      <w:lang w:val="pl-PL"/>
    </w:rPr>
  </w:style>
  <w:style w:type="paragraph" w:styleId="Nagwek">
    <w:name w:val="header"/>
    <w:semiHidden/>
    <w:rsid w:val="00B04BC4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</w:rPr>
  </w:style>
  <w:style w:type="paragraph" w:styleId="Stopka">
    <w:name w:val="footer"/>
    <w:link w:val="StopkaZnak"/>
    <w:uiPriority w:val="9"/>
    <w:semiHidden/>
    <w:rsid w:val="000D61DD"/>
    <w:pPr>
      <w:jc w:val="right"/>
    </w:pPr>
    <w:rPr>
      <w:rFonts w:asciiTheme="minorHAnsi" w:hAnsiTheme="minorHAnsi" w:cstheme="minorHAnsi"/>
      <w:color w:val="747678" w:themeColor="background2"/>
      <w:sz w:val="12"/>
      <w:szCs w:val="16"/>
    </w:rPr>
  </w:style>
  <w:style w:type="character" w:customStyle="1" w:styleId="ReportColour">
    <w:name w:val="Report Colour"/>
    <w:basedOn w:val="Domylnaczcionkaakapitu"/>
    <w:rsid w:val="005A066F"/>
    <w:rPr>
      <w:color w:val="4F2D7F" w:themeColor="accent1"/>
      <w:lang w:val="en-US"/>
    </w:rPr>
  </w:style>
  <w:style w:type="paragraph" w:customStyle="1" w:styleId="AppendixTitle">
    <w:name w:val="Appendix Title"/>
    <w:basedOn w:val="Normalny"/>
    <w:next w:val="Tekstpodstawowy"/>
    <w:rsid w:val="00990285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styleId="Tytu">
    <w:name w:val="Title"/>
    <w:basedOn w:val="Normalny"/>
    <w:next w:val="Tekstpodstawowy"/>
    <w:uiPriority w:val="1"/>
    <w:qFormat/>
    <w:rsid w:val="0021621D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  <w:lang w:val="pl-PL"/>
    </w:rPr>
  </w:style>
  <w:style w:type="paragraph" w:styleId="Podtytu">
    <w:name w:val="Subtitle"/>
    <w:uiPriority w:val="9"/>
    <w:rsid w:val="00B04BC4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</w:rPr>
  </w:style>
  <w:style w:type="paragraph" w:styleId="Listapunktowana2">
    <w:name w:val="List Bullet 2"/>
    <w:basedOn w:val="Normalny"/>
    <w:uiPriority w:val="1"/>
    <w:qFormat/>
    <w:rsid w:val="00364323"/>
    <w:pPr>
      <w:numPr>
        <w:ilvl w:val="1"/>
        <w:numId w:val="17"/>
      </w:numPr>
    </w:pPr>
  </w:style>
  <w:style w:type="paragraph" w:styleId="Listanumerowana2">
    <w:name w:val="List Number 2"/>
    <w:basedOn w:val="Normalny"/>
    <w:uiPriority w:val="1"/>
    <w:qFormat/>
    <w:rsid w:val="0021621D"/>
    <w:pPr>
      <w:numPr>
        <w:ilvl w:val="1"/>
        <w:numId w:val="16"/>
      </w:numPr>
    </w:pPr>
    <w:rPr>
      <w:lang w:val="pl-PL"/>
    </w:rPr>
  </w:style>
  <w:style w:type="paragraph" w:styleId="Listanumerowana3">
    <w:name w:val="List Number 3"/>
    <w:basedOn w:val="Normalny"/>
    <w:uiPriority w:val="1"/>
    <w:qFormat/>
    <w:rsid w:val="0021621D"/>
    <w:pPr>
      <w:numPr>
        <w:ilvl w:val="2"/>
        <w:numId w:val="16"/>
      </w:numPr>
    </w:pPr>
    <w:rPr>
      <w:lang w:val="pl-PL"/>
    </w:rPr>
  </w:style>
  <w:style w:type="paragraph" w:customStyle="1" w:styleId="MarginNotes">
    <w:name w:val="Margin Notes"/>
    <w:semiHidden/>
    <w:rsid w:val="00B04BC4"/>
    <w:rPr>
      <w:rFonts w:asciiTheme="minorHAnsi" w:hAnsiTheme="minorHAnsi" w:cs="Arial"/>
      <w:sz w:val="16"/>
    </w:rPr>
  </w:style>
  <w:style w:type="paragraph" w:customStyle="1" w:styleId="SectionTitle">
    <w:name w:val="Section Title"/>
    <w:next w:val="Tekstpodstawowy"/>
    <w:rsid w:val="00990285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TableHeading">
    <w:name w:val="Table Heading"/>
    <w:uiPriority w:val="2"/>
    <w:qFormat/>
    <w:rsid w:val="00364323"/>
    <w:pPr>
      <w:spacing w:before="60" w:after="60"/>
    </w:pPr>
    <w:rPr>
      <w:rFonts w:asciiTheme="minorHAnsi" w:hAnsiTheme="minorHAnsi" w:cs="Arial"/>
      <w:b/>
      <w:bCs/>
      <w:kern w:val="28"/>
      <w:sz w:val="16"/>
      <w:szCs w:val="32"/>
      <w:lang w:val="pl-PL"/>
    </w:rPr>
  </w:style>
  <w:style w:type="paragraph" w:customStyle="1" w:styleId="TableText">
    <w:name w:val="Table Text"/>
    <w:uiPriority w:val="2"/>
    <w:qFormat/>
    <w:rsid w:val="00364323"/>
    <w:pPr>
      <w:spacing w:before="60" w:after="60"/>
    </w:pPr>
    <w:rPr>
      <w:rFonts w:asciiTheme="minorHAnsi" w:hAnsiTheme="minorHAnsi" w:cs="Arial"/>
      <w:sz w:val="16"/>
    </w:rPr>
  </w:style>
  <w:style w:type="paragraph" w:customStyle="1" w:styleId="TintBoxTextBlack">
    <w:name w:val="Tint Box Text Black"/>
    <w:semiHidden/>
    <w:rsid w:val="00B04BC4"/>
    <w:pPr>
      <w:spacing w:after="240" w:line="240" w:lineRule="atLeast"/>
    </w:pPr>
    <w:rPr>
      <w:rFonts w:asciiTheme="minorHAnsi" w:hAnsiTheme="minorHAnsi" w:cs="Arial"/>
      <w:b/>
      <w:sz w:val="18"/>
    </w:rPr>
  </w:style>
  <w:style w:type="paragraph" w:customStyle="1" w:styleId="TintBoxTextWhite">
    <w:name w:val="Tint Box Text White"/>
    <w:basedOn w:val="TintBoxTextBlack"/>
    <w:semiHidden/>
    <w:rsid w:val="00B04BC4"/>
    <w:rPr>
      <w:color w:val="FFFFFF"/>
    </w:rPr>
  </w:style>
  <w:style w:type="paragraph" w:styleId="Spistreci1">
    <w:name w:val="toc 1"/>
    <w:next w:val="Normalny"/>
    <w:uiPriority w:val="39"/>
    <w:rsid w:val="00B04BC4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</w:rPr>
  </w:style>
  <w:style w:type="paragraph" w:styleId="Spistreci2">
    <w:name w:val="toc 2"/>
    <w:next w:val="Normalny"/>
    <w:semiHidden/>
    <w:rsid w:val="00B04BC4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</w:rPr>
  </w:style>
  <w:style w:type="paragraph" w:styleId="Spistreci3">
    <w:name w:val="toc 3"/>
    <w:basedOn w:val="Spistreci2"/>
    <w:next w:val="Normalny"/>
    <w:semiHidden/>
    <w:rsid w:val="00B04BC4"/>
    <w:pPr>
      <w:ind w:left="403"/>
    </w:pPr>
  </w:style>
  <w:style w:type="paragraph" w:customStyle="1" w:styleId="Contents">
    <w:name w:val="Contents"/>
    <w:next w:val="Normalny"/>
    <w:uiPriority w:val="9"/>
    <w:unhideWhenUsed/>
    <w:rsid w:val="00B04BC4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</w:rPr>
  </w:style>
  <w:style w:type="character" w:styleId="Numerstrony">
    <w:name w:val="page number"/>
    <w:basedOn w:val="Domylnaczcionkaakapitu"/>
    <w:semiHidden/>
    <w:rsid w:val="00B04BC4"/>
    <w:rPr>
      <w:rFonts w:asciiTheme="minorHAnsi" w:hAnsiTheme="minorHAnsi"/>
      <w:lang w:val="en-US"/>
    </w:rPr>
  </w:style>
  <w:style w:type="paragraph" w:customStyle="1" w:styleId="ChapterTitle">
    <w:name w:val="Chapter Title"/>
    <w:basedOn w:val="Podtytu"/>
    <w:uiPriority w:val="9"/>
    <w:semiHidden/>
    <w:rsid w:val="00B04BC4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customStyle="1" w:styleId="AppendicesTitle">
    <w:name w:val="Appendices Title"/>
    <w:basedOn w:val="Nagwek2"/>
    <w:next w:val="Normalny"/>
    <w:uiPriority w:val="9"/>
    <w:semiHidden/>
    <w:rsid w:val="00B04BC4"/>
    <w:rPr>
      <w:color w:val="auto"/>
    </w:rPr>
  </w:style>
  <w:style w:type="character" w:styleId="Hipercze">
    <w:name w:val="Hyperlink"/>
    <w:basedOn w:val="Domylnaczcionkaakapitu"/>
    <w:uiPriority w:val="99"/>
    <w:rsid w:val="00B04BC4"/>
    <w:rPr>
      <w:color w:val="0000FF"/>
      <w:u w:val="single"/>
      <w:lang w:val="en-US"/>
    </w:rPr>
  </w:style>
  <w:style w:type="paragraph" w:customStyle="1" w:styleId="ReferenceTitle">
    <w:name w:val="Reference Title"/>
    <w:next w:val="ReferenceText"/>
    <w:uiPriority w:val="9"/>
    <w:unhideWhenUsed/>
    <w:rsid w:val="00B04BC4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</w:rPr>
  </w:style>
  <w:style w:type="paragraph" w:customStyle="1" w:styleId="ReferenceText">
    <w:name w:val="Reference Text"/>
    <w:uiPriority w:val="9"/>
    <w:unhideWhenUsed/>
    <w:rsid w:val="00B04BC4"/>
    <w:pPr>
      <w:spacing w:after="120" w:line="240" w:lineRule="atLeast"/>
    </w:pPr>
    <w:rPr>
      <w:rFonts w:asciiTheme="minorHAnsi" w:hAnsiTheme="minorHAnsi" w:cs="Arial"/>
      <w:kern w:val="32"/>
      <w:sz w:val="18"/>
      <w:szCs w:val="24"/>
    </w:rPr>
  </w:style>
  <w:style w:type="paragraph" w:customStyle="1" w:styleId="Backpage">
    <w:name w:val="Back page"/>
    <w:uiPriority w:val="9"/>
    <w:semiHidden/>
    <w:rsid w:val="00B04BC4"/>
    <w:rPr>
      <w:rFonts w:asciiTheme="majorHAnsi" w:hAnsiTheme="majorHAnsi" w:cs="Arial"/>
      <w:b/>
      <w:sz w:val="18"/>
    </w:rPr>
  </w:style>
  <w:style w:type="paragraph" w:customStyle="1" w:styleId="Copyright">
    <w:name w:val="Copyright"/>
    <w:semiHidden/>
    <w:rsid w:val="00B04BC4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</w:rPr>
  </w:style>
  <w:style w:type="paragraph" w:customStyle="1" w:styleId="TradingName">
    <w:name w:val="Trading Name"/>
    <w:semiHidden/>
    <w:rsid w:val="00B04BC4"/>
    <w:pPr>
      <w:spacing w:line="180" w:lineRule="atLeast"/>
    </w:pPr>
    <w:rPr>
      <w:rFonts w:asciiTheme="minorHAnsi" w:eastAsia="SimHei" w:hAnsiTheme="minorHAnsi" w:cs="Arial"/>
      <w:b/>
      <w:sz w:val="14"/>
    </w:rPr>
  </w:style>
  <w:style w:type="paragraph" w:customStyle="1" w:styleId="PartnerAddress">
    <w:name w:val="Partner Address"/>
    <w:semiHidden/>
    <w:rsid w:val="00B04BC4"/>
    <w:rPr>
      <w:rFonts w:asciiTheme="minorHAnsi" w:eastAsia="SimHei" w:hAnsiTheme="minorHAnsi" w:cs="Arial"/>
      <w:sz w:val="14"/>
    </w:rPr>
  </w:style>
  <w:style w:type="paragraph" w:customStyle="1" w:styleId="HalfLineBreak">
    <w:name w:val="Half Line Break"/>
    <w:semiHidden/>
    <w:rsid w:val="00B04BC4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</w:rPr>
  </w:style>
  <w:style w:type="paragraph" w:customStyle="1" w:styleId="LetterFooter">
    <w:name w:val="Letter Footer"/>
    <w:rsid w:val="0093057B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93057B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andscapeHeader">
    <w:name w:val="Landscape Header"/>
    <w:basedOn w:val="Nagwek"/>
    <w:semiHidden/>
    <w:rsid w:val="00B04BC4"/>
    <w:pPr>
      <w:tabs>
        <w:tab w:val="clear" w:pos="8562"/>
        <w:tab w:val="right" w:pos="13438"/>
      </w:tabs>
    </w:pPr>
  </w:style>
  <w:style w:type="paragraph" w:customStyle="1" w:styleId="NumberedHeading1">
    <w:name w:val="Numbered Heading 1"/>
    <w:next w:val="Tekstpodstawowy"/>
    <w:uiPriority w:val="3"/>
    <w:qFormat/>
    <w:rsid w:val="0021621D"/>
    <w:pPr>
      <w:numPr>
        <w:numId w:val="15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pl-PL"/>
    </w:rPr>
  </w:style>
  <w:style w:type="paragraph" w:customStyle="1" w:styleId="NumberedHeading2">
    <w:name w:val="Numbered Heading 2"/>
    <w:next w:val="Tekstpodstawowy"/>
    <w:uiPriority w:val="3"/>
    <w:qFormat/>
    <w:rsid w:val="0021621D"/>
    <w:pPr>
      <w:numPr>
        <w:ilvl w:val="1"/>
        <w:numId w:val="15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pl-PL"/>
    </w:rPr>
  </w:style>
  <w:style w:type="table" w:styleId="Tabela-Siatka">
    <w:name w:val="Table Grid"/>
    <w:basedOn w:val="Standardowy"/>
    <w:rsid w:val="00B0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ny"/>
    <w:uiPriority w:val="1"/>
    <w:rsid w:val="00B04BC4"/>
    <w:pPr>
      <w:numPr>
        <w:numId w:val="6"/>
      </w:numPr>
    </w:pPr>
  </w:style>
  <w:style w:type="paragraph" w:customStyle="1" w:styleId="ParagraphBullet2">
    <w:name w:val="Paragraph Bullet 2"/>
    <w:basedOn w:val="Normalny"/>
    <w:uiPriority w:val="1"/>
    <w:rsid w:val="00B04BC4"/>
    <w:pPr>
      <w:numPr>
        <w:ilvl w:val="1"/>
        <w:numId w:val="6"/>
      </w:numPr>
    </w:pPr>
  </w:style>
  <w:style w:type="paragraph" w:customStyle="1" w:styleId="MarginNotesHeading">
    <w:name w:val="Margin Notes Heading"/>
    <w:basedOn w:val="MarginNotes"/>
    <w:semiHidden/>
    <w:rsid w:val="00B04BC4"/>
    <w:rPr>
      <w:b/>
    </w:rPr>
  </w:style>
  <w:style w:type="paragraph" w:styleId="Cytat">
    <w:name w:val="Quote"/>
    <w:basedOn w:val="Tekstpodstawowy"/>
    <w:uiPriority w:val="9"/>
    <w:unhideWhenUsed/>
    <w:rsid w:val="00B04BC4"/>
    <w:rPr>
      <w:sz w:val="28"/>
    </w:rPr>
  </w:style>
  <w:style w:type="paragraph" w:customStyle="1" w:styleId="ContactDetails">
    <w:name w:val="Contact Details"/>
    <w:uiPriority w:val="9"/>
    <w:unhideWhenUsed/>
    <w:rsid w:val="00B04BC4"/>
    <w:rPr>
      <w:rFonts w:asciiTheme="minorHAnsi" w:hAnsiTheme="minorHAnsi" w:cs="Arial"/>
      <w:sz w:val="16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B04BC4"/>
    <w:rPr>
      <w:b/>
    </w:rPr>
  </w:style>
  <w:style w:type="paragraph" w:styleId="Tekstmakra">
    <w:name w:val="macro"/>
    <w:semiHidden/>
    <w:rsid w:val="00B04B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"/>
    <w:semiHidden/>
    <w:rsid w:val="00B04BC4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"/>
    <w:semiHidden/>
    <w:rsid w:val="00B04BC4"/>
    <w:rPr>
      <w:rFonts w:asciiTheme="minorHAnsi" w:hAnsiTheme="minorHAnsi" w:cs="Tahoma"/>
      <w:sz w:val="16"/>
      <w:szCs w:val="16"/>
      <w:lang w:val="en-US"/>
    </w:rPr>
  </w:style>
  <w:style w:type="table" w:customStyle="1" w:styleId="GTITableStyle1">
    <w:name w:val="GTI Table Style 1"/>
    <w:basedOn w:val="Standardowy"/>
    <w:uiPriority w:val="99"/>
    <w:rsid w:val="005C23C4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ekstpodstawowyZnak">
    <w:name w:val="Tekst podstawowy Znak"/>
    <w:basedOn w:val="Domylnaczcionkaakapitu"/>
    <w:link w:val="Tekstpodstawowy"/>
    <w:rsid w:val="0015731C"/>
    <w:rPr>
      <w:rFonts w:asciiTheme="minorHAnsi" w:hAnsiTheme="minorHAnsi" w:cs="Arial"/>
      <w:sz w:val="18"/>
    </w:rPr>
  </w:style>
  <w:style w:type="numbering" w:customStyle="1" w:styleId="GTListBullet">
    <w:name w:val="GT List Bullet"/>
    <w:uiPriority w:val="99"/>
    <w:rsid w:val="008C4D0D"/>
    <w:pPr>
      <w:numPr>
        <w:numId w:val="1"/>
      </w:numPr>
    </w:pPr>
  </w:style>
  <w:style w:type="numbering" w:customStyle="1" w:styleId="GTListNumber">
    <w:name w:val="GT List Number"/>
    <w:uiPriority w:val="99"/>
    <w:rsid w:val="008C4D0D"/>
    <w:pPr>
      <w:numPr>
        <w:numId w:val="2"/>
      </w:numPr>
    </w:pPr>
  </w:style>
  <w:style w:type="numbering" w:customStyle="1" w:styleId="GTNumberedHeadings">
    <w:name w:val="GT Numbered Headings"/>
    <w:uiPriority w:val="99"/>
    <w:rsid w:val="00B04BC4"/>
    <w:pPr>
      <w:numPr>
        <w:numId w:val="3"/>
      </w:numPr>
    </w:pPr>
  </w:style>
  <w:style w:type="numbering" w:customStyle="1" w:styleId="GTParagraphBullet">
    <w:name w:val="GT Paragraph Bullet"/>
    <w:uiPriority w:val="99"/>
    <w:rsid w:val="00B04BC4"/>
    <w:pPr>
      <w:numPr>
        <w:numId w:val="4"/>
      </w:numPr>
    </w:pPr>
  </w:style>
  <w:style w:type="paragraph" w:styleId="Bezodstpw">
    <w:name w:val="No Spacing"/>
    <w:uiPriority w:val="1"/>
    <w:semiHidden/>
    <w:rsid w:val="00B04BC4"/>
    <w:rPr>
      <w:rFonts w:asciiTheme="minorHAnsi" w:hAnsiTheme="minorHAnsi" w:cs="Arial"/>
      <w:sz w:val="18"/>
    </w:rPr>
  </w:style>
  <w:style w:type="paragraph" w:styleId="Zwykytekst">
    <w:name w:val="Plain Text"/>
    <w:basedOn w:val="Normalny"/>
    <w:link w:val="ZwykytekstZnak"/>
    <w:semiHidden/>
    <w:unhideWhenUsed/>
    <w:rsid w:val="00B04BC4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B04BC4"/>
    <w:rPr>
      <w:rFonts w:asciiTheme="minorHAnsi" w:hAnsiTheme="minorHAnsi" w:cs="Arial"/>
      <w:sz w:val="18"/>
      <w:szCs w:val="21"/>
      <w:lang w:val="en-US"/>
    </w:rPr>
  </w:style>
  <w:style w:type="paragraph" w:styleId="Spistreci4">
    <w:name w:val="toc 4"/>
    <w:basedOn w:val="Normalny"/>
    <w:next w:val="Normalny"/>
    <w:autoRedefine/>
    <w:semiHidden/>
    <w:rsid w:val="00B04BC4"/>
    <w:pPr>
      <w:tabs>
        <w:tab w:val="right" w:pos="8363"/>
      </w:tabs>
      <w:ind w:left="539"/>
    </w:pPr>
  </w:style>
  <w:style w:type="paragraph" w:styleId="Spistreci5">
    <w:name w:val="toc 5"/>
    <w:basedOn w:val="Normalny"/>
    <w:next w:val="Normalny"/>
    <w:autoRedefine/>
    <w:semiHidden/>
    <w:rsid w:val="00B04BC4"/>
    <w:pPr>
      <w:tabs>
        <w:tab w:val="right" w:pos="8363"/>
      </w:tabs>
      <w:ind w:left="720"/>
    </w:pPr>
  </w:style>
  <w:style w:type="paragraph" w:styleId="Spistreci6">
    <w:name w:val="toc 6"/>
    <w:basedOn w:val="Normalny"/>
    <w:next w:val="Normalny"/>
    <w:autoRedefine/>
    <w:semiHidden/>
    <w:rsid w:val="00B04BC4"/>
    <w:pPr>
      <w:ind w:left="902"/>
    </w:pPr>
  </w:style>
  <w:style w:type="paragraph" w:styleId="Spistreci7">
    <w:name w:val="toc 7"/>
    <w:basedOn w:val="Normalny"/>
    <w:next w:val="Normalny"/>
    <w:autoRedefine/>
    <w:semiHidden/>
    <w:rsid w:val="00B04BC4"/>
    <w:pPr>
      <w:ind w:left="1077"/>
    </w:pPr>
  </w:style>
  <w:style w:type="paragraph" w:styleId="Spistreci8">
    <w:name w:val="toc 8"/>
    <w:basedOn w:val="Normalny"/>
    <w:next w:val="Normalny"/>
    <w:autoRedefine/>
    <w:semiHidden/>
    <w:rsid w:val="00B04BC4"/>
    <w:pPr>
      <w:ind w:left="1259"/>
    </w:pPr>
  </w:style>
  <w:style w:type="paragraph" w:styleId="Spistreci9">
    <w:name w:val="toc 9"/>
    <w:basedOn w:val="Normalny"/>
    <w:next w:val="Normalny"/>
    <w:autoRedefine/>
    <w:semiHidden/>
    <w:rsid w:val="00B04BC4"/>
    <w:pPr>
      <w:ind w:left="1440"/>
    </w:pPr>
  </w:style>
  <w:style w:type="paragraph" w:customStyle="1" w:styleId="Address1">
    <w:name w:val="Address1"/>
    <w:basedOn w:val="PartnerAddress"/>
    <w:rsid w:val="00CA7B49"/>
    <w:pPr>
      <w:spacing w:after="120"/>
    </w:pPr>
    <w:rPr>
      <w:color w:val="4F2D7F" w:themeColor="accent1"/>
      <w:szCs w:val="16"/>
    </w:rPr>
  </w:style>
  <w:style w:type="paragraph" w:customStyle="1" w:styleId="WebAddress">
    <w:name w:val="WebAddress"/>
    <w:basedOn w:val="Address1"/>
    <w:semiHidden/>
    <w:qFormat/>
    <w:rsid w:val="00CA7B49"/>
    <w:rPr>
      <w:b/>
      <w:sz w:val="12"/>
    </w:rPr>
  </w:style>
  <w:style w:type="paragraph" w:customStyle="1" w:styleId="ClientAddress">
    <w:name w:val="Client Address"/>
    <w:basedOn w:val="Tekstpodstawowy"/>
    <w:rsid w:val="00462B97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Smlspace">
    <w:name w:val="Sml space"/>
    <w:basedOn w:val="Copyright"/>
    <w:semiHidden/>
    <w:qFormat/>
    <w:rsid w:val="00CA7B49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character" w:customStyle="1" w:styleId="Nagwek1Znak">
    <w:name w:val="Nagłówek 1 Znak"/>
    <w:basedOn w:val="Domylnaczcionkaakapitu"/>
    <w:link w:val="Nagwek1"/>
    <w:rsid w:val="0015731C"/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character" w:customStyle="1" w:styleId="Nagwek2Znak">
    <w:name w:val="Nagłówek 2 Znak"/>
    <w:basedOn w:val="Domylnaczcionkaakapitu"/>
    <w:link w:val="Nagwek2"/>
    <w:rsid w:val="0015731C"/>
    <w:rPr>
      <w:rFonts w:asciiTheme="majorHAnsi" w:hAnsiTheme="majorHAnsi" w:cstheme="majorHAnsi"/>
      <w:color w:val="4F2D7F" w:themeColor="accent1"/>
      <w:kern w:val="32"/>
      <w:sz w:val="26"/>
      <w:szCs w:val="19"/>
    </w:rPr>
  </w:style>
  <w:style w:type="character" w:customStyle="1" w:styleId="Nagwek4Znak">
    <w:name w:val="Nagłówek 4 Znak"/>
    <w:basedOn w:val="Domylnaczcionkaakapitu"/>
    <w:link w:val="Nagwek4"/>
    <w:rsid w:val="0015731C"/>
    <w:rPr>
      <w:rFonts w:asciiTheme="minorHAnsi" w:hAnsiTheme="minorHAnsi" w:cstheme="minorHAnsi"/>
      <w:color w:val="4F2D7F" w:themeColor="accent1"/>
      <w:kern w:val="32"/>
      <w:sz w:val="18"/>
      <w:szCs w:val="18"/>
    </w:rPr>
  </w:style>
  <w:style w:type="paragraph" w:customStyle="1" w:styleId="LandscapeFooter">
    <w:name w:val="Landscape Footer"/>
    <w:basedOn w:val="Stopka"/>
    <w:uiPriority w:val="9"/>
    <w:semiHidden/>
    <w:rsid w:val="00B04BC4"/>
    <w:pPr>
      <w:tabs>
        <w:tab w:val="right" w:pos="13461"/>
      </w:tabs>
    </w:pPr>
  </w:style>
  <w:style w:type="paragraph" w:customStyle="1" w:styleId="SectionTitleLandscape">
    <w:name w:val="Section Title Landscape"/>
    <w:basedOn w:val="Normalny"/>
    <w:next w:val="Tekstpodstawowy"/>
    <w:uiPriority w:val="3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AppendixTitleLandscape">
    <w:name w:val="Appendix Title Landscape"/>
    <w:basedOn w:val="Normalny"/>
    <w:next w:val="Tekstpodstawowy"/>
    <w:uiPriority w:val="4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6C286D"/>
  </w:style>
  <w:style w:type="paragraph" w:styleId="Tekstblokowy">
    <w:name w:val="Block Text"/>
    <w:basedOn w:val="Normalny"/>
    <w:semiHidden/>
    <w:unhideWhenUsed/>
    <w:rsid w:val="006C286D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Tekstpodstawowy2">
    <w:name w:val="Body Text 2"/>
    <w:basedOn w:val="Normalny"/>
    <w:link w:val="Tekstpodstawowy2Znak"/>
    <w:semiHidden/>
    <w:unhideWhenUsed/>
    <w:rsid w:val="006C286D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6C286D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286D"/>
    <w:rPr>
      <w:rFonts w:asciiTheme="minorHAnsi" w:hAnsiTheme="minorHAnsi" w:cs="Arial"/>
      <w:sz w:val="16"/>
      <w:szCs w:val="16"/>
      <w:lang w:val="en-US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6C286D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C286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6C286D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C286D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C286D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C286D"/>
    <w:rPr>
      <w:rFonts w:asciiTheme="minorHAnsi" w:hAnsiTheme="minorHAnsi" w:cs="Arial"/>
      <w:sz w:val="16"/>
      <w:szCs w:val="16"/>
      <w:lang w:val="en-US"/>
    </w:rPr>
  </w:style>
  <w:style w:type="character" w:styleId="Tytuksiki">
    <w:name w:val="Book Title"/>
    <w:basedOn w:val="Domylnaczcionkaakapitu"/>
    <w:uiPriority w:val="33"/>
    <w:semiHidden/>
    <w:qFormat/>
    <w:rsid w:val="006C286D"/>
    <w:rPr>
      <w:b/>
      <w:bCs/>
      <w:i/>
      <w:iCs/>
      <w:spacing w:val="5"/>
      <w:lang w:val="en-US"/>
    </w:rPr>
  </w:style>
  <w:style w:type="paragraph" w:styleId="Legenda">
    <w:name w:val="caption"/>
    <w:basedOn w:val="Normalny"/>
    <w:next w:val="Normalny"/>
    <w:semiHidden/>
    <w:unhideWhenUsed/>
    <w:qFormat/>
    <w:rsid w:val="006C286D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6C286D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6C286D"/>
    <w:rPr>
      <w:rFonts w:asciiTheme="minorHAnsi" w:hAnsiTheme="minorHAnsi" w:cs="Arial"/>
      <w:sz w:val="18"/>
      <w:lang w:val="en-US"/>
    </w:rPr>
  </w:style>
  <w:style w:type="table" w:styleId="Kolorowasiatka">
    <w:name w:val="Colorful Grid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6C286D"/>
    <w:rPr>
      <w:sz w:val="16"/>
      <w:szCs w:val="16"/>
      <w:lang w:val="en-US"/>
    </w:rPr>
  </w:style>
  <w:style w:type="paragraph" w:styleId="Tekstkomentarza">
    <w:name w:val="annotation text"/>
    <w:basedOn w:val="Normalny"/>
    <w:link w:val="TekstkomentarzaZnak"/>
    <w:semiHidden/>
    <w:unhideWhenUsed/>
    <w:rsid w:val="006C286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286D"/>
    <w:rPr>
      <w:rFonts w:asciiTheme="minorHAnsi" w:hAnsiTheme="minorHAnsi" w:cs="Aria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C28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C286D"/>
    <w:rPr>
      <w:rFonts w:asciiTheme="minorHAnsi" w:hAnsiTheme="minorHAnsi" w:cs="Arial"/>
      <w:b/>
      <w:bCs/>
      <w:lang w:val="en-US"/>
    </w:rPr>
  </w:style>
  <w:style w:type="table" w:styleId="Ciemnalista">
    <w:name w:val="Dark List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6C286D"/>
  </w:style>
  <w:style w:type="character" w:customStyle="1" w:styleId="DataZnak">
    <w:name w:val="Data Znak"/>
    <w:basedOn w:val="Domylnaczcionkaakapitu"/>
    <w:link w:val="Data"/>
    <w:semiHidden/>
    <w:rsid w:val="006C286D"/>
    <w:rPr>
      <w:rFonts w:asciiTheme="minorHAnsi" w:hAnsiTheme="minorHAnsi" w:cs="Arial"/>
      <w:sz w:val="18"/>
      <w:lang w:val="en-US"/>
    </w:rPr>
  </w:style>
  <w:style w:type="paragraph" w:styleId="Mapadokumentu">
    <w:name w:val="Document Map"/>
    <w:basedOn w:val="Normalny"/>
    <w:link w:val="MapadokumentuZnak"/>
    <w:semiHidden/>
    <w:unhideWhenUsed/>
    <w:rsid w:val="006C286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6C286D"/>
    <w:rPr>
      <w:rFonts w:ascii="Segoe UI" w:hAnsi="Segoe UI" w:cs="Segoe UI"/>
      <w:sz w:val="16"/>
      <w:szCs w:val="16"/>
      <w:lang w:val="en-US"/>
    </w:rPr>
  </w:style>
  <w:style w:type="paragraph" w:styleId="Podpise-mail">
    <w:name w:val="E-mail Signature"/>
    <w:basedOn w:val="Normalny"/>
    <w:link w:val="Podpise-mailZnak"/>
    <w:semiHidden/>
    <w:unhideWhenUsed/>
    <w:rsid w:val="006C286D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semiHidden/>
    <w:rsid w:val="006C286D"/>
    <w:rPr>
      <w:rFonts w:asciiTheme="minorHAnsi" w:hAnsiTheme="minorHAnsi" w:cs="Arial"/>
      <w:sz w:val="18"/>
      <w:lang w:val="en-US"/>
    </w:rPr>
  </w:style>
  <w:style w:type="character" w:styleId="Uwydatnienie">
    <w:name w:val="Emphasis"/>
    <w:basedOn w:val="Domylnaczcionkaakapitu"/>
    <w:uiPriority w:val="9"/>
    <w:semiHidden/>
    <w:unhideWhenUsed/>
    <w:rsid w:val="006C286D"/>
    <w:rPr>
      <w:i/>
      <w:iCs/>
      <w:lang w:val="en-US"/>
    </w:rPr>
  </w:style>
  <w:style w:type="character" w:styleId="Odwoanieprzypisukocowego">
    <w:name w:val="endnote reference"/>
    <w:basedOn w:val="Domylnaczcionkaakapitu"/>
    <w:semiHidden/>
    <w:unhideWhenUsed/>
    <w:rsid w:val="006C286D"/>
    <w:rPr>
      <w:vertAlign w:val="superscript"/>
      <w:lang w:val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6C286D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C286D"/>
    <w:rPr>
      <w:rFonts w:asciiTheme="minorHAnsi" w:hAnsiTheme="minorHAnsi" w:cs="Arial"/>
      <w:lang w:val="en-US"/>
    </w:rPr>
  </w:style>
  <w:style w:type="paragraph" w:styleId="Adresnakopercie">
    <w:name w:val="envelope address"/>
    <w:basedOn w:val="Normalny"/>
    <w:semiHidden/>
    <w:unhideWhenUsed/>
    <w:rsid w:val="006C28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6C286D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UyteHipercze">
    <w:name w:val="FollowedHyperlink"/>
    <w:basedOn w:val="Domylnaczcionkaakapitu"/>
    <w:semiHidden/>
    <w:unhideWhenUsed/>
    <w:rsid w:val="006C286D"/>
    <w:rPr>
      <w:color w:val="800080" w:themeColor="followedHyperlink"/>
      <w:u w:val="single"/>
      <w:lang w:val="en-US"/>
    </w:rPr>
  </w:style>
  <w:style w:type="character" w:styleId="Odwoanieprzypisudolnego">
    <w:name w:val="footnote reference"/>
    <w:basedOn w:val="Domylnaczcionkaakapitu"/>
    <w:semiHidden/>
    <w:rsid w:val="006C286D"/>
    <w:rPr>
      <w:vertAlign w:val="superscript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6C286D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286D"/>
    <w:rPr>
      <w:rFonts w:asciiTheme="minorHAnsi" w:hAnsiTheme="minorHAnsi" w:cs="Arial"/>
      <w:lang w:val="en-US"/>
    </w:rPr>
  </w:style>
  <w:style w:type="table" w:customStyle="1" w:styleId="Tabelasiatki1jasna1">
    <w:name w:val="Tabela siatki 1 — jasna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omylnaczcionkaakapitu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character" w:styleId="HTML-akronim">
    <w:name w:val="HTML Acronym"/>
    <w:basedOn w:val="Domylnaczcionkaakapitu"/>
    <w:semiHidden/>
    <w:unhideWhenUsed/>
    <w:rsid w:val="006C286D"/>
    <w:rPr>
      <w:lang w:val="en-US"/>
    </w:rPr>
  </w:style>
  <w:style w:type="paragraph" w:styleId="HTML-adres">
    <w:name w:val="HTML Address"/>
    <w:basedOn w:val="Normalny"/>
    <w:link w:val="HTML-adresZnak"/>
    <w:semiHidden/>
    <w:unhideWhenUsed/>
    <w:rsid w:val="006C286D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6C286D"/>
    <w:rPr>
      <w:rFonts w:asciiTheme="minorHAnsi" w:hAnsiTheme="minorHAnsi" w:cs="Arial"/>
      <w:i/>
      <w:iCs/>
      <w:sz w:val="18"/>
      <w:lang w:val="en-US"/>
    </w:rPr>
  </w:style>
  <w:style w:type="character" w:styleId="HTML-cytat">
    <w:name w:val="HTML Cite"/>
    <w:basedOn w:val="Domylnaczcionkaakapitu"/>
    <w:semiHidden/>
    <w:unhideWhenUsed/>
    <w:rsid w:val="006C286D"/>
    <w:rPr>
      <w:i/>
      <w:iCs/>
      <w:lang w:val="en-US"/>
    </w:rPr>
  </w:style>
  <w:style w:type="character" w:styleId="HTML-kod">
    <w:name w:val="HTML Code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-definicja">
    <w:name w:val="HTML Definition"/>
    <w:basedOn w:val="Domylnaczcionkaakapitu"/>
    <w:semiHidden/>
    <w:unhideWhenUsed/>
    <w:rsid w:val="006C286D"/>
    <w:rPr>
      <w:i/>
      <w:iCs/>
      <w:lang w:val="en-US"/>
    </w:rPr>
  </w:style>
  <w:style w:type="character" w:styleId="HTML-klawiatura">
    <w:name w:val="HTML Keyboard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C286D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C286D"/>
    <w:rPr>
      <w:rFonts w:ascii="Consolas" w:hAnsi="Consolas" w:cs="Arial"/>
      <w:lang w:val="en-US"/>
    </w:rPr>
  </w:style>
  <w:style w:type="character" w:styleId="HTML-przykad">
    <w:name w:val="HTML Sample"/>
    <w:basedOn w:val="Domylnaczcionkaakapitu"/>
    <w:semiHidden/>
    <w:unhideWhenUsed/>
    <w:rsid w:val="006C286D"/>
    <w:rPr>
      <w:rFonts w:ascii="Consolas" w:hAnsi="Consolas"/>
      <w:sz w:val="24"/>
      <w:szCs w:val="24"/>
      <w:lang w:val="en-US"/>
    </w:rPr>
  </w:style>
  <w:style w:type="character" w:styleId="HTML-staaszeroko">
    <w:name w:val="HTML Typewriter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-zmienna">
    <w:name w:val="HTML Variable"/>
    <w:basedOn w:val="Domylnaczcionkaakapitu"/>
    <w:semiHidden/>
    <w:unhideWhenUsed/>
    <w:rsid w:val="006C286D"/>
    <w:rPr>
      <w:i/>
      <w:iCs/>
      <w:lang w:val="en-US"/>
    </w:rPr>
  </w:style>
  <w:style w:type="paragraph" w:styleId="Indeks1">
    <w:name w:val="index 1"/>
    <w:basedOn w:val="Normalny"/>
    <w:next w:val="Normalny"/>
    <w:autoRedefine/>
    <w:semiHidden/>
    <w:unhideWhenUsed/>
    <w:rsid w:val="006C286D"/>
    <w:pPr>
      <w:spacing w:after="0" w:line="240" w:lineRule="auto"/>
      <w:ind w:left="180" w:hanging="180"/>
    </w:pPr>
  </w:style>
  <w:style w:type="paragraph" w:styleId="Indeks2">
    <w:name w:val="index 2"/>
    <w:basedOn w:val="Normalny"/>
    <w:next w:val="Normalny"/>
    <w:autoRedefine/>
    <w:semiHidden/>
    <w:unhideWhenUsed/>
    <w:rsid w:val="006C286D"/>
    <w:pPr>
      <w:spacing w:after="0" w:line="240" w:lineRule="auto"/>
      <w:ind w:left="360" w:hanging="180"/>
    </w:pPr>
  </w:style>
  <w:style w:type="paragraph" w:styleId="Indeks3">
    <w:name w:val="index 3"/>
    <w:basedOn w:val="Normalny"/>
    <w:next w:val="Normalny"/>
    <w:autoRedefine/>
    <w:semiHidden/>
    <w:unhideWhenUsed/>
    <w:rsid w:val="006C286D"/>
    <w:pPr>
      <w:spacing w:after="0" w:line="240" w:lineRule="auto"/>
      <w:ind w:left="540" w:hanging="180"/>
    </w:pPr>
  </w:style>
  <w:style w:type="paragraph" w:styleId="Indeks4">
    <w:name w:val="index 4"/>
    <w:basedOn w:val="Normalny"/>
    <w:next w:val="Normalny"/>
    <w:autoRedefine/>
    <w:semiHidden/>
    <w:unhideWhenUsed/>
    <w:rsid w:val="006C286D"/>
    <w:pPr>
      <w:spacing w:after="0" w:line="240" w:lineRule="auto"/>
      <w:ind w:left="720" w:hanging="180"/>
    </w:pPr>
  </w:style>
  <w:style w:type="paragraph" w:styleId="Indeks5">
    <w:name w:val="index 5"/>
    <w:basedOn w:val="Normalny"/>
    <w:next w:val="Normalny"/>
    <w:autoRedefine/>
    <w:semiHidden/>
    <w:unhideWhenUsed/>
    <w:rsid w:val="006C286D"/>
    <w:pPr>
      <w:spacing w:after="0" w:line="240" w:lineRule="auto"/>
      <w:ind w:left="900" w:hanging="180"/>
    </w:pPr>
  </w:style>
  <w:style w:type="paragraph" w:styleId="Indeks6">
    <w:name w:val="index 6"/>
    <w:basedOn w:val="Normalny"/>
    <w:next w:val="Normalny"/>
    <w:autoRedefine/>
    <w:semiHidden/>
    <w:unhideWhenUsed/>
    <w:rsid w:val="006C286D"/>
    <w:pPr>
      <w:spacing w:after="0" w:line="240" w:lineRule="auto"/>
      <w:ind w:left="1080" w:hanging="180"/>
    </w:pPr>
  </w:style>
  <w:style w:type="paragraph" w:styleId="Indeks7">
    <w:name w:val="index 7"/>
    <w:basedOn w:val="Normalny"/>
    <w:next w:val="Normalny"/>
    <w:autoRedefine/>
    <w:semiHidden/>
    <w:unhideWhenUsed/>
    <w:rsid w:val="006C286D"/>
    <w:pPr>
      <w:spacing w:after="0" w:line="240" w:lineRule="auto"/>
      <w:ind w:left="1260" w:hanging="180"/>
    </w:pPr>
  </w:style>
  <w:style w:type="paragraph" w:styleId="Indeks8">
    <w:name w:val="index 8"/>
    <w:basedOn w:val="Normalny"/>
    <w:next w:val="Normalny"/>
    <w:autoRedefine/>
    <w:semiHidden/>
    <w:unhideWhenUsed/>
    <w:rsid w:val="006C286D"/>
    <w:pPr>
      <w:spacing w:after="0" w:line="240" w:lineRule="auto"/>
      <w:ind w:left="1440" w:hanging="180"/>
    </w:pPr>
  </w:style>
  <w:style w:type="paragraph" w:styleId="Indeks9">
    <w:name w:val="index 9"/>
    <w:basedOn w:val="Normalny"/>
    <w:next w:val="Normalny"/>
    <w:autoRedefine/>
    <w:semiHidden/>
    <w:unhideWhenUsed/>
    <w:rsid w:val="006C286D"/>
    <w:pPr>
      <w:spacing w:after="0" w:line="240" w:lineRule="auto"/>
      <w:ind w:left="1620" w:hanging="180"/>
    </w:pPr>
  </w:style>
  <w:style w:type="paragraph" w:styleId="Nagwekindeksu">
    <w:name w:val="index heading"/>
    <w:basedOn w:val="Normalny"/>
    <w:next w:val="Indeks1"/>
    <w:semiHidden/>
    <w:unhideWhenUsed/>
    <w:rsid w:val="006C286D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rsid w:val="006C286D"/>
    <w:rPr>
      <w:i/>
      <w:iCs/>
      <w:color w:val="4F2D7F" w:themeColor="accent1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6C286D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C286D"/>
    <w:rPr>
      <w:rFonts w:asciiTheme="minorHAnsi" w:hAnsiTheme="minorHAnsi" w:cs="Arial"/>
      <w:i/>
      <w:iCs/>
      <w:color w:val="4F2D7F" w:themeColor="accent1"/>
      <w:sz w:val="18"/>
      <w:lang w:val="en-US"/>
    </w:rPr>
  </w:style>
  <w:style w:type="character" w:styleId="Odwoanieintensywne">
    <w:name w:val="Intense Reference"/>
    <w:basedOn w:val="Domylnaczcionkaakapitu"/>
    <w:uiPriority w:val="32"/>
    <w:semiHidden/>
    <w:unhideWhenUsed/>
    <w:rsid w:val="006C286D"/>
    <w:rPr>
      <w:b/>
      <w:bCs/>
      <w:smallCaps/>
      <w:color w:val="4F2D7F" w:themeColor="accent1"/>
      <w:spacing w:val="5"/>
      <w:lang w:val="en-US"/>
    </w:rPr>
  </w:style>
  <w:style w:type="table" w:styleId="Jasnasiatka">
    <w:name w:val="Light Grid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6C28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6C286D"/>
    <w:rPr>
      <w:lang w:val="en-US"/>
    </w:rPr>
  </w:style>
  <w:style w:type="paragraph" w:styleId="Lista">
    <w:name w:val="List"/>
    <w:basedOn w:val="Normalny"/>
    <w:semiHidden/>
    <w:unhideWhenUsed/>
    <w:rsid w:val="006C286D"/>
    <w:pPr>
      <w:ind w:left="283" w:hanging="283"/>
      <w:contextualSpacing/>
    </w:pPr>
  </w:style>
  <w:style w:type="paragraph" w:styleId="Lista2">
    <w:name w:val="List 2"/>
    <w:basedOn w:val="Normalny"/>
    <w:semiHidden/>
    <w:rsid w:val="006C286D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6C286D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6C286D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6C286D"/>
    <w:pPr>
      <w:ind w:left="1415" w:hanging="283"/>
      <w:contextualSpacing/>
    </w:pPr>
  </w:style>
  <w:style w:type="paragraph" w:styleId="Listapunktowana3">
    <w:name w:val="List Bullet 3"/>
    <w:basedOn w:val="Normalny"/>
    <w:uiPriority w:val="1"/>
    <w:qFormat/>
    <w:rsid w:val="00364323"/>
    <w:pPr>
      <w:numPr>
        <w:ilvl w:val="2"/>
        <w:numId w:val="17"/>
      </w:numPr>
      <w:contextualSpacing/>
    </w:pPr>
    <w:rPr>
      <w:lang w:val="pl-PL"/>
    </w:rPr>
  </w:style>
  <w:style w:type="paragraph" w:styleId="Listapunktowana4">
    <w:name w:val="List Bullet 4"/>
    <w:basedOn w:val="Normalny"/>
    <w:semiHidden/>
    <w:unhideWhenUsed/>
    <w:rsid w:val="006C286D"/>
    <w:pPr>
      <w:numPr>
        <w:numId w:val="7"/>
      </w:numPr>
      <w:contextualSpacing/>
    </w:pPr>
  </w:style>
  <w:style w:type="paragraph" w:styleId="Listapunktowana5">
    <w:name w:val="List Bullet 5"/>
    <w:basedOn w:val="Normalny"/>
    <w:semiHidden/>
    <w:unhideWhenUsed/>
    <w:rsid w:val="006C286D"/>
    <w:pPr>
      <w:numPr>
        <w:numId w:val="8"/>
      </w:numPr>
      <w:contextualSpacing/>
    </w:pPr>
  </w:style>
  <w:style w:type="paragraph" w:styleId="Lista-kontynuacja">
    <w:name w:val="List Continue"/>
    <w:basedOn w:val="Normalny"/>
    <w:semiHidden/>
    <w:unhideWhenUsed/>
    <w:rsid w:val="006C286D"/>
    <w:pPr>
      <w:ind w:left="283"/>
      <w:contextualSpacing/>
    </w:pPr>
  </w:style>
  <w:style w:type="paragraph" w:styleId="Lista-kontynuacja2">
    <w:name w:val="List Continue 2"/>
    <w:basedOn w:val="Normalny"/>
    <w:semiHidden/>
    <w:unhideWhenUsed/>
    <w:rsid w:val="006C286D"/>
    <w:pPr>
      <w:ind w:left="566"/>
      <w:contextualSpacing/>
    </w:pPr>
  </w:style>
  <w:style w:type="paragraph" w:styleId="Lista-kontynuacja3">
    <w:name w:val="List Continue 3"/>
    <w:basedOn w:val="Normalny"/>
    <w:semiHidden/>
    <w:unhideWhenUsed/>
    <w:rsid w:val="006C286D"/>
    <w:pPr>
      <w:ind w:left="849"/>
      <w:contextualSpacing/>
    </w:pPr>
  </w:style>
  <w:style w:type="paragraph" w:styleId="Lista-kontynuacja4">
    <w:name w:val="List Continue 4"/>
    <w:basedOn w:val="Normalny"/>
    <w:semiHidden/>
    <w:rsid w:val="006C286D"/>
    <w:pPr>
      <w:ind w:left="1132"/>
      <w:contextualSpacing/>
    </w:pPr>
  </w:style>
  <w:style w:type="paragraph" w:styleId="Lista-kontynuacja5">
    <w:name w:val="List Continue 5"/>
    <w:basedOn w:val="Normalny"/>
    <w:semiHidden/>
    <w:rsid w:val="006C286D"/>
    <w:pPr>
      <w:ind w:left="1415"/>
      <w:contextualSpacing/>
    </w:pPr>
  </w:style>
  <w:style w:type="paragraph" w:styleId="Listanumerowana4">
    <w:name w:val="List Number 4"/>
    <w:basedOn w:val="Normalny"/>
    <w:semiHidden/>
    <w:unhideWhenUsed/>
    <w:rsid w:val="006C286D"/>
    <w:pPr>
      <w:numPr>
        <w:numId w:val="9"/>
      </w:numPr>
      <w:contextualSpacing/>
    </w:pPr>
  </w:style>
  <w:style w:type="paragraph" w:styleId="Listanumerowana5">
    <w:name w:val="List Number 5"/>
    <w:basedOn w:val="Normalny"/>
    <w:semiHidden/>
    <w:unhideWhenUsed/>
    <w:rsid w:val="006C286D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rsid w:val="006C286D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6C286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6C286D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6C286D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6C286D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6C286D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6C286D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6C286D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omylnaczcionkaakapitu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paragraph" w:styleId="Nagwekwiadomoci">
    <w:name w:val="Message Header"/>
    <w:basedOn w:val="Normalny"/>
    <w:link w:val="NagwekwiadomociZnak"/>
    <w:semiHidden/>
    <w:rsid w:val="006C28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6C286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6C286D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6C286D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6C286D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semiHidden/>
    <w:rsid w:val="006C286D"/>
    <w:rPr>
      <w:rFonts w:asciiTheme="minorHAnsi" w:hAnsiTheme="minorHAnsi" w:cs="Arial"/>
      <w:sz w:val="18"/>
      <w:lang w:val="en-US"/>
    </w:rPr>
  </w:style>
  <w:style w:type="character" w:styleId="Tekstzastpczy">
    <w:name w:val="Placeholder Text"/>
    <w:basedOn w:val="Domylnaczcionkaakapitu"/>
    <w:uiPriority w:val="99"/>
    <w:semiHidden/>
    <w:rsid w:val="006C286D"/>
    <w:rPr>
      <w:color w:val="808080"/>
      <w:lang w:val="en-US"/>
    </w:rPr>
  </w:style>
  <w:style w:type="table" w:customStyle="1" w:styleId="Zwykatabela11">
    <w:name w:val="Zwykła tabela 11"/>
    <w:basedOn w:val="Standardowy"/>
    <w:uiPriority w:val="41"/>
    <w:rsid w:val="006C286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6C28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6C28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6C28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6C286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6C286D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6C286D"/>
    <w:rPr>
      <w:rFonts w:asciiTheme="minorHAnsi" w:hAnsiTheme="minorHAnsi" w:cs="Arial"/>
      <w:sz w:val="18"/>
      <w:lang w:val="en-US"/>
    </w:rPr>
  </w:style>
  <w:style w:type="paragraph" w:styleId="Podpis">
    <w:name w:val="Signature"/>
    <w:basedOn w:val="Normalny"/>
    <w:link w:val="PodpisZnak"/>
    <w:semiHidden/>
    <w:unhideWhenUsed/>
    <w:rsid w:val="006C286D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6C286D"/>
    <w:rPr>
      <w:rFonts w:asciiTheme="minorHAnsi" w:hAnsiTheme="minorHAnsi" w:cs="Arial"/>
      <w:sz w:val="18"/>
      <w:lang w:val="en-US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6C286D"/>
    <w:rPr>
      <w:u w:val="dotted"/>
      <w:lang w:val="en-US"/>
    </w:rPr>
  </w:style>
  <w:style w:type="character" w:styleId="Pogrubienie">
    <w:name w:val="Strong"/>
    <w:basedOn w:val="Domylnaczcionkaakapitu"/>
    <w:unhideWhenUsed/>
    <w:rsid w:val="006C286D"/>
    <w:rPr>
      <w:b/>
      <w:bCs/>
      <w:lang w:val="en-US"/>
    </w:rPr>
  </w:style>
  <w:style w:type="character" w:styleId="Wyrnieniedelikatne">
    <w:name w:val="Subtle Emphasis"/>
    <w:basedOn w:val="Domylnaczcionkaakapitu"/>
    <w:uiPriority w:val="19"/>
    <w:semiHidden/>
    <w:unhideWhenUsed/>
    <w:rsid w:val="006C286D"/>
    <w:rPr>
      <w:i/>
      <w:iCs/>
      <w:color w:val="404040" w:themeColor="text1" w:themeTint="BF"/>
      <w:lang w:val="en-US"/>
    </w:rPr>
  </w:style>
  <w:style w:type="character" w:styleId="Odwoaniedelikatne">
    <w:name w:val="Subtle Reference"/>
    <w:basedOn w:val="Domylnaczcionkaakapitu"/>
    <w:uiPriority w:val="31"/>
    <w:semiHidden/>
    <w:unhideWhenUsed/>
    <w:rsid w:val="006C286D"/>
    <w:rPr>
      <w:smallCaps/>
      <w:color w:val="5A5A5A" w:themeColor="text1" w:themeTint="A5"/>
      <w:lang w:val="en-US"/>
    </w:rPr>
  </w:style>
  <w:style w:type="table" w:styleId="Tabela-Efekty3W1">
    <w:name w:val="Table 3D effects 1"/>
    <w:basedOn w:val="Standardowy"/>
    <w:semiHidden/>
    <w:unhideWhenUsed/>
    <w:rsid w:val="006C286D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semiHidden/>
    <w:unhideWhenUsed/>
    <w:rsid w:val="006C286D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semiHidden/>
    <w:unhideWhenUsed/>
    <w:rsid w:val="006C286D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6C286D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6C286D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6C286D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6C286D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6C286D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6C286D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6C286D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6C286D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6C28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6C286D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6C286D"/>
    <w:pPr>
      <w:spacing w:after="0"/>
      <w:ind w:left="180" w:hanging="180"/>
    </w:pPr>
  </w:style>
  <w:style w:type="paragraph" w:styleId="Spisilustracji">
    <w:name w:val="table of figures"/>
    <w:basedOn w:val="Normalny"/>
    <w:next w:val="Normalny"/>
    <w:semiHidden/>
    <w:unhideWhenUsed/>
    <w:rsid w:val="006C286D"/>
    <w:pPr>
      <w:spacing w:after="0"/>
    </w:pPr>
  </w:style>
  <w:style w:type="table" w:styleId="Tabela-Profesjonalny">
    <w:name w:val="Table Professional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6C286D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6C286D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6C286D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unhideWhenUsed/>
    <w:rsid w:val="006C286D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semiHidden/>
    <w:rsid w:val="006C28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286D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numbering" w:customStyle="1" w:styleId="GTTableBullets">
    <w:name w:val="GT Table Bullets"/>
    <w:uiPriority w:val="99"/>
    <w:rsid w:val="008C4D0D"/>
    <w:pPr>
      <w:numPr>
        <w:numId w:val="11"/>
      </w:numPr>
    </w:pPr>
  </w:style>
  <w:style w:type="numbering" w:customStyle="1" w:styleId="GTTableNumbers">
    <w:name w:val="GT Table Numbers"/>
    <w:uiPriority w:val="99"/>
    <w:rsid w:val="008C4D0D"/>
    <w:pPr>
      <w:numPr>
        <w:numId w:val="12"/>
      </w:numPr>
    </w:pPr>
  </w:style>
  <w:style w:type="paragraph" w:customStyle="1" w:styleId="TableBullet1">
    <w:name w:val="Table Bullet 1"/>
    <w:basedOn w:val="Listapunktowana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Bullet2">
    <w:name w:val="Table Bullet 2"/>
    <w:basedOn w:val="Listapunktowana2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Bullet3">
    <w:name w:val="Table Bullet 3"/>
    <w:basedOn w:val="Listapunktowana3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Number">
    <w:name w:val="Table Number"/>
    <w:basedOn w:val="Listanumerowana"/>
    <w:uiPriority w:val="9"/>
    <w:qFormat/>
    <w:rsid w:val="008C4D0D"/>
    <w:pPr>
      <w:numPr>
        <w:numId w:val="14"/>
      </w:numPr>
      <w:spacing w:before="60" w:after="60"/>
    </w:pPr>
  </w:style>
  <w:style w:type="paragraph" w:customStyle="1" w:styleId="TableNumber2">
    <w:name w:val="Table Number 2"/>
    <w:basedOn w:val="Listanumerowana2"/>
    <w:uiPriority w:val="9"/>
    <w:qFormat/>
    <w:rsid w:val="008C4D0D"/>
    <w:pPr>
      <w:numPr>
        <w:numId w:val="14"/>
      </w:numPr>
      <w:spacing w:before="60" w:after="60"/>
    </w:pPr>
  </w:style>
  <w:style w:type="paragraph" w:customStyle="1" w:styleId="TableNumber3">
    <w:name w:val="Table Number 3"/>
    <w:basedOn w:val="Listanumerowana3"/>
    <w:uiPriority w:val="9"/>
    <w:qFormat/>
    <w:rsid w:val="008C4D0D"/>
    <w:pPr>
      <w:numPr>
        <w:numId w:val="14"/>
      </w:numPr>
      <w:spacing w:before="60" w:after="60"/>
    </w:pPr>
  </w:style>
  <w:style w:type="character" w:customStyle="1" w:styleId="ListapunktowanaZnak">
    <w:name w:val="Lista punktowana Znak"/>
    <w:basedOn w:val="Domylnaczcionkaakapitu"/>
    <w:link w:val="Listapunktowana"/>
    <w:uiPriority w:val="1"/>
    <w:rsid w:val="0021621D"/>
    <w:rPr>
      <w:rFonts w:asciiTheme="minorHAnsi" w:hAnsiTheme="minorHAnsi" w:cs="Arial"/>
      <w:sz w:val="18"/>
      <w:lang w:val="pl-PL"/>
    </w:rPr>
  </w:style>
  <w:style w:type="paragraph" w:customStyle="1" w:styleId="Tabletextdecimal">
    <w:name w:val="Table text decimal"/>
    <w:basedOn w:val="TableText"/>
    <w:uiPriority w:val="9"/>
    <w:rsid w:val="005E6FCA"/>
    <w:pPr>
      <w:tabs>
        <w:tab w:val="decimal" w:pos="1651"/>
      </w:tabs>
    </w:pPr>
    <w:rPr>
      <w:sz w:val="18"/>
      <w:lang w:val="en-GB"/>
    </w:rPr>
  </w:style>
  <w:style w:type="paragraph" w:customStyle="1" w:styleId="Notesandsources">
    <w:name w:val="Notes and sources"/>
    <w:basedOn w:val="Tekstpodstawowy"/>
    <w:rsid w:val="005E6FCA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</w:rPr>
  </w:style>
  <w:style w:type="paragraph" w:customStyle="1" w:styleId="TableHeadingRight">
    <w:name w:val="Table Heading Right"/>
    <w:basedOn w:val="TableHeading"/>
    <w:uiPriority w:val="9"/>
    <w:rsid w:val="005E6FCA"/>
    <w:pPr>
      <w:jc w:val="right"/>
    </w:pPr>
    <w:rPr>
      <w:color w:val="4F2D7F" w:themeColor="accent1"/>
      <w:sz w:val="18"/>
      <w:lang w:val="en-GB"/>
    </w:rPr>
  </w:style>
  <w:style w:type="paragraph" w:customStyle="1" w:styleId="TableTextRight">
    <w:name w:val="Table Text Right"/>
    <w:basedOn w:val="TableText"/>
    <w:uiPriority w:val="9"/>
    <w:rsid w:val="005E6FCA"/>
    <w:pPr>
      <w:jc w:val="right"/>
    </w:pPr>
    <w:rPr>
      <w:sz w:val="18"/>
      <w:lang w:val="en-GB"/>
    </w:rPr>
  </w:style>
  <w:style w:type="table" w:customStyle="1" w:styleId="GTITableStyle2">
    <w:name w:val="GTI Table Style 2"/>
    <w:basedOn w:val="GTITableStyle1"/>
    <w:uiPriority w:val="99"/>
    <w:rsid w:val="005C23C4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LetterFooterURL">
    <w:name w:val="Letter Footer URL"/>
    <w:basedOn w:val="LetterFooter"/>
    <w:uiPriority w:val="9"/>
    <w:semiHidden/>
    <w:rsid w:val="0093057B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93057B"/>
    <w:rPr>
      <w:b/>
      <w:sz w:val="14"/>
    </w:rPr>
  </w:style>
  <w:style w:type="paragraph" w:customStyle="1" w:styleId="Tekstpodstawowywciciepodnumerowanie1">
    <w:name w:val="Tekst podstawowy wcięcie pod numerowanie 1"/>
    <w:basedOn w:val="Tekstpodstawowy"/>
    <w:link w:val="Tekstpodstawowywciciepodnumerowanie1Znak"/>
    <w:uiPriority w:val="9"/>
    <w:qFormat/>
    <w:rsid w:val="002F1925"/>
    <w:pPr>
      <w:ind w:left="284"/>
    </w:pPr>
    <w:rPr>
      <w:lang w:val="pl-PL"/>
    </w:rPr>
  </w:style>
  <w:style w:type="character" w:customStyle="1" w:styleId="Tekstpodstawowywciciepodnumerowanie1Znak">
    <w:name w:val="Tekst podstawowy wcięcie pod numerowanie 1 Znak"/>
    <w:basedOn w:val="TekstpodstawowyZnak"/>
    <w:link w:val="Tekstpodstawowywciciepodnumerowanie1"/>
    <w:uiPriority w:val="9"/>
    <w:rsid w:val="002F1925"/>
    <w:rPr>
      <w:rFonts w:asciiTheme="minorHAnsi" w:hAnsiTheme="minorHAnsi" w:cs="Arial"/>
      <w:sz w:val="18"/>
      <w:lang w:val="pl-PL"/>
    </w:rPr>
  </w:style>
  <w:style w:type="character" w:customStyle="1" w:styleId="StopkaZnak">
    <w:name w:val="Stopka Znak"/>
    <w:basedOn w:val="Domylnaczcionkaakapitu"/>
    <w:link w:val="Stopka"/>
    <w:uiPriority w:val="9"/>
    <w:semiHidden/>
    <w:rsid w:val="00C14BA6"/>
    <w:rPr>
      <w:rFonts w:asciiTheme="minorHAnsi" w:hAnsiTheme="minorHAnsi" w:cstheme="minorHAnsi"/>
      <w:color w:val="747678" w:themeColor="background2"/>
      <w:sz w:val="12"/>
      <w:szCs w:val="16"/>
    </w:rPr>
  </w:style>
  <w:style w:type="paragraph" w:customStyle="1" w:styleId="Tekstpodstawowywciciepodnumerowaniea">
    <w:name w:val="Tekst podstawowy wcięcie pod numerowanie a"/>
    <w:basedOn w:val="Tekstpodstawowywciciepodnumerowanie1"/>
    <w:link w:val="TekstpodstawowywciciepodnumerowanieaZnak"/>
    <w:uiPriority w:val="9"/>
    <w:qFormat/>
    <w:rsid w:val="00C13A94"/>
    <w:pPr>
      <w:ind w:left="567"/>
    </w:pPr>
  </w:style>
  <w:style w:type="character" w:customStyle="1" w:styleId="TekstpodstawowywciciepodnumerowanieaZnak">
    <w:name w:val="Tekst podstawowy wcięcie pod numerowanie a Znak"/>
    <w:basedOn w:val="Tekstpodstawowywciciepodnumerowanie1Znak"/>
    <w:link w:val="Tekstpodstawowywciciepodnumerowaniea"/>
    <w:uiPriority w:val="9"/>
    <w:rsid w:val="00C13A94"/>
    <w:rPr>
      <w:rFonts w:asciiTheme="minorHAnsi" w:hAnsiTheme="minorHAnsi" w:cs="Arial"/>
      <w:sz w:val="18"/>
      <w:lang w:val="pl-PL"/>
    </w:rPr>
  </w:style>
  <w:style w:type="paragraph" w:customStyle="1" w:styleId="PRTitle">
    <w:name w:val="PR Title"/>
    <w:basedOn w:val="Tytu"/>
    <w:next w:val="Tekstpodstawowy"/>
    <w:qFormat/>
    <w:rsid w:val="007A5040"/>
    <w:rPr>
      <w:lang w:val="en-GB"/>
    </w:rPr>
  </w:style>
  <w:style w:type="character" w:customStyle="1" w:styleId="Nagwek3Znak">
    <w:name w:val="Nagłówek 3 Znak"/>
    <w:basedOn w:val="Domylnaczcionkaakapitu"/>
    <w:link w:val="Nagwek3"/>
    <w:rsid w:val="007A5040"/>
    <w:rPr>
      <w:rFonts w:asciiTheme="minorHAnsi" w:hAnsiTheme="minorHAnsi" w:cstheme="minorHAnsi"/>
      <w:b/>
      <w:bCs/>
      <w:color w:val="4F2D7F" w:themeColor="accent1"/>
      <w:kern w:val="32"/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antThornton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gti.org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rantthornto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Region!$C$68</c:f>
              <c:strCache>
                <c:ptCount val="1"/>
                <c:pt idx="0">
                  <c:v>Bucharest Stock Exchange</c:v>
                </c:pt>
              </c:strCache>
            </c:strRef>
          </c:tx>
          <c:spPr>
            <a:solidFill>
              <a:srgbClr val="9BD73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Region!$D$66:$K$66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Region!$D$68:$K$68</c:f>
              <c:numCache>
                <c:formatCode>General</c:formatCode>
                <c:ptCount val="8"/>
                <c:pt idx="0">
                  <c:v>55</c:v>
                </c:pt>
                <c:pt idx="1">
                  <c:v>60</c:v>
                </c:pt>
                <c:pt idx="2">
                  <c:v>68</c:v>
                </c:pt>
                <c:pt idx="3" formatCode="#,##0">
                  <c:v>70</c:v>
                </c:pt>
                <c:pt idx="4" formatCode="#,##0">
                  <c:v>71</c:v>
                </c:pt>
                <c:pt idx="5">
                  <c:v>81</c:v>
                </c:pt>
                <c:pt idx="6">
                  <c:v>80</c:v>
                </c:pt>
                <c:pt idx="7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10-4FCE-A650-558CA52B8D30}"/>
            </c:ext>
          </c:extLst>
        </c:ser>
        <c:ser>
          <c:idx val="2"/>
          <c:order val="1"/>
          <c:tx>
            <c:strRef>
              <c:f>Region!$C$70</c:f>
              <c:strCache>
                <c:ptCount val="1"/>
                <c:pt idx="0">
                  <c:v>CEESEG - Budapest</c:v>
                </c:pt>
              </c:strCache>
            </c:strRef>
          </c:tx>
          <c:spPr>
            <a:solidFill>
              <a:srgbClr val="00A7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Region!$D$66:$K$66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Region!$D$70:$K$70</c:f>
              <c:numCache>
                <c:formatCode>General</c:formatCode>
                <c:ptCount val="8"/>
                <c:pt idx="0">
                  <c:v>107</c:v>
                </c:pt>
                <c:pt idx="1">
                  <c:v>158</c:v>
                </c:pt>
                <c:pt idx="2">
                  <c:v>186</c:v>
                </c:pt>
                <c:pt idx="3" formatCode="#,##0">
                  <c:v>201</c:v>
                </c:pt>
                <c:pt idx="4" formatCode="#,##0">
                  <c:v>183</c:v>
                </c:pt>
                <c:pt idx="5">
                  <c:v>142</c:v>
                </c:pt>
                <c:pt idx="6">
                  <c:v>101</c:v>
                </c:pt>
                <c:pt idx="7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10-4FCE-A650-558CA52B8D30}"/>
            </c:ext>
          </c:extLst>
        </c:ser>
        <c:ser>
          <c:idx val="3"/>
          <c:order val="2"/>
          <c:tx>
            <c:strRef>
              <c:f>Region!$C$72</c:f>
              <c:strCache>
                <c:ptCount val="1"/>
                <c:pt idx="0">
                  <c:v>CEESEG - Prague</c:v>
                </c:pt>
              </c:strCache>
            </c:strRef>
          </c:tx>
          <c:spPr>
            <a:solidFill>
              <a:srgbClr val="FF7D1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Region!$D$66:$K$66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Region!$D$72:$K$72</c:f>
              <c:numCache>
                <c:formatCode>General</c:formatCode>
                <c:ptCount val="8"/>
                <c:pt idx="0">
                  <c:v>106</c:v>
                </c:pt>
                <c:pt idx="1">
                  <c:v>95</c:v>
                </c:pt>
                <c:pt idx="2">
                  <c:v>98</c:v>
                </c:pt>
                <c:pt idx="3" formatCode="#,##0">
                  <c:v>109</c:v>
                </c:pt>
                <c:pt idx="4" formatCode="#,##0">
                  <c:v>116</c:v>
                </c:pt>
                <c:pt idx="5">
                  <c:v>112</c:v>
                </c:pt>
                <c:pt idx="6">
                  <c:v>115</c:v>
                </c:pt>
                <c:pt idx="7">
                  <c:v>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210-4FCE-A650-558CA52B8D30}"/>
            </c:ext>
          </c:extLst>
        </c:ser>
        <c:ser>
          <c:idx val="4"/>
          <c:order val="3"/>
          <c:tx>
            <c:strRef>
              <c:f>Region!$C$73</c:f>
              <c:strCache>
                <c:ptCount val="1"/>
                <c:pt idx="0">
                  <c:v>Warsaw Stock Exchange</c:v>
                </c:pt>
              </c:strCache>
            </c:strRef>
          </c:tx>
          <c:spPr>
            <a:solidFill>
              <a:srgbClr val="4F2D7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Region!$D$66:$K$66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Region!$D$73:$K$73</c:f>
              <c:numCache>
                <c:formatCode>General</c:formatCode>
                <c:ptCount val="8"/>
                <c:pt idx="0">
                  <c:v>137</c:v>
                </c:pt>
                <c:pt idx="1">
                  <c:v>246</c:v>
                </c:pt>
                <c:pt idx="2">
                  <c:v>361</c:v>
                </c:pt>
                <c:pt idx="3" formatCode="#,##0">
                  <c:v>442</c:v>
                </c:pt>
                <c:pt idx="4" formatCode="#,##0">
                  <c:v>517</c:v>
                </c:pt>
                <c:pt idx="5">
                  <c:v>532</c:v>
                </c:pt>
                <c:pt idx="6">
                  <c:v>566</c:v>
                </c:pt>
                <c:pt idx="7">
                  <c:v>609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210-4FCE-A650-558CA52B8D3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74032896"/>
        <c:axId val="274038784"/>
      </c:barChart>
      <c:catAx>
        <c:axId val="274032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4038784"/>
        <c:crosses val="autoZero"/>
        <c:auto val="1"/>
        <c:lblAlgn val="ctr"/>
        <c:lblOffset val="100"/>
        <c:noMultiLvlLbl val="0"/>
      </c:catAx>
      <c:valAx>
        <c:axId val="2740387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l-PL"/>
                  <a:t>Liczba emisji</a:t>
                </a:r>
              </a:p>
            </c:rich>
          </c:tx>
          <c:layout>
            <c:manualLayout>
              <c:xMode val="edge"/>
              <c:yMode val="edge"/>
              <c:x val="1.3930348258706468E-2"/>
              <c:y val="0.2636673754059674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74032896"/>
        <c:crosses val="autoZero"/>
        <c:crossBetween val="between"/>
        <c:majorUnit val="100"/>
      </c:valAx>
    </c:plotArea>
    <c:legend>
      <c:legendPos val="b"/>
      <c:layout>
        <c:manualLayout>
          <c:xMode val="edge"/>
          <c:yMode val="edge"/>
          <c:x val="2.291824063385656E-2"/>
          <c:y val="0.86279527559055114"/>
          <c:w val="0.95038722211910931"/>
          <c:h val="0.1372047244094488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Calibri" panose="020F0502020204030204" pitchFamily="34" charset="0"/>
        </a:defRPr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0A81C22F8DB43BCB3F602F7DEC8A5" ma:contentTypeVersion="0" ma:contentTypeDescription="Create a new document." ma:contentTypeScope="" ma:versionID="778a7e44bfdc93b3322af7b54e6b741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40691-3B4F-4820-AFA0-EA46171D87E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1CF41B1-AD49-44CB-B83F-EA37A3EF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9F7F6C4-C6E9-4C1A-9E58-0DED638B82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E9D7FE-001B-499C-91E9-C8D9AA54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763</Words>
  <Characters>4732</Characters>
  <Application>Microsoft Office Word</Application>
  <DocSecurity>0</DocSecurity>
  <Lines>87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Drygas Piotr</dc:creator>
  <cp:lastModifiedBy>Kowalczyk Jacek</cp:lastModifiedBy>
  <cp:revision>4</cp:revision>
  <cp:lastPrinted>2007-08-23T16:47:00Z</cp:lastPrinted>
  <dcterms:created xsi:type="dcterms:W3CDTF">2018-06-15T10:34:00Z</dcterms:created>
  <dcterms:modified xsi:type="dcterms:W3CDTF">2018-06-15T10:55:00Z</dcterms:modified>
</cp:coreProperties>
</file>