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2F" w:rsidRDefault="00D8712F" w:rsidP="00C04FB3">
      <w:pPr>
        <w:pStyle w:val="PRTitle"/>
        <w:spacing w:line="276" w:lineRule="auto"/>
        <w:rPr>
          <w:sz w:val="44"/>
          <w:lang w:val="pl-PL"/>
        </w:rPr>
      </w:pPr>
    </w:p>
    <w:p w:rsidR="00813F04" w:rsidRPr="00043B07" w:rsidRDefault="00284CBE" w:rsidP="00C04FB3">
      <w:pPr>
        <w:pStyle w:val="PRTitle"/>
        <w:spacing w:line="276" w:lineRule="auto"/>
        <w:rPr>
          <w:sz w:val="96"/>
          <w:lang w:val="pl-PL"/>
        </w:rPr>
      </w:pPr>
      <w:r>
        <w:rPr>
          <w:sz w:val="96"/>
          <w:lang w:val="pl-PL"/>
        </w:rPr>
        <w:t>Legislacyjna burza wyraźne słabnie</w:t>
      </w:r>
    </w:p>
    <w:p w:rsidR="00D8712F" w:rsidRPr="00D8712F" w:rsidRDefault="00951459" w:rsidP="00B87565">
      <w:pPr>
        <w:pStyle w:val="Tekstpodstawowy"/>
        <w:rPr>
          <w:b/>
          <w:color w:val="00A7B5" w:themeColor="accent3"/>
          <w:lang w:val="pl-PL"/>
        </w:rPr>
      </w:pPr>
      <w:r>
        <w:rPr>
          <w:b/>
          <w:color w:val="00A7B5" w:themeColor="accent3"/>
          <w:lang w:val="pl-PL"/>
        </w:rPr>
        <w:t>Aktualizacja za III kwartał</w:t>
      </w:r>
      <w:r w:rsidR="00142F32">
        <w:rPr>
          <w:b/>
          <w:color w:val="00A7B5" w:themeColor="accent3"/>
          <w:lang w:val="pl-PL"/>
        </w:rPr>
        <w:t xml:space="preserve"> 2018 r.</w:t>
      </w:r>
    </w:p>
    <w:p w:rsidR="00B87565" w:rsidRPr="000C4938" w:rsidRDefault="009741B6" w:rsidP="00B87565">
      <w:pPr>
        <w:pStyle w:val="Tekstpodstawowy"/>
        <w:rPr>
          <w:lang w:val="pl-PL"/>
        </w:rPr>
      </w:pPr>
      <w:r>
        <w:rPr>
          <w:lang w:val="pl-PL"/>
        </w:rPr>
        <w:t>24</w:t>
      </w:r>
      <w:bookmarkStart w:id="1" w:name="_GoBack"/>
      <w:bookmarkEnd w:id="1"/>
      <w:r w:rsidR="00951459">
        <w:rPr>
          <w:lang w:val="pl-PL"/>
        </w:rPr>
        <w:t xml:space="preserve"> października</w:t>
      </w:r>
      <w:r w:rsidR="00CC3603">
        <w:rPr>
          <w:lang w:val="pl-PL"/>
        </w:rPr>
        <w:t xml:space="preserve"> 2018</w:t>
      </w:r>
      <w:r w:rsidR="00AE0450" w:rsidRPr="000C4938">
        <w:rPr>
          <w:lang w:val="pl-PL"/>
        </w:rPr>
        <w:t xml:space="preserve"> r.</w:t>
      </w:r>
    </w:p>
    <w:p w:rsidR="00AE0450" w:rsidRDefault="00AE0450" w:rsidP="00B87565">
      <w:pPr>
        <w:pStyle w:val="Tekstpodstawowy"/>
        <w:rPr>
          <w:lang w:val="pl-PL"/>
        </w:rPr>
      </w:pPr>
    </w:p>
    <w:p w:rsidR="000C4938" w:rsidRPr="000C4938" w:rsidRDefault="000C4938" w:rsidP="00B87565">
      <w:pPr>
        <w:pStyle w:val="Tekstpodstawowy"/>
        <w:rPr>
          <w:lang w:val="pl-PL"/>
        </w:rPr>
      </w:pPr>
    </w:p>
    <w:p w:rsidR="00043B07" w:rsidRDefault="00043B07" w:rsidP="00AE0450">
      <w:pPr>
        <w:pStyle w:val="Tekstpodstawowy"/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</w:pPr>
    </w:p>
    <w:p w:rsidR="000C4938" w:rsidRPr="00D8712F" w:rsidRDefault="00CC3603" w:rsidP="00D8712F">
      <w:pPr>
        <w:pStyle w:val="Tekstpodstawowy"/>
        <w:spacing w:after="0" w:line="360" w:lineRule="auto"/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</w:pPr>
      <w:r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W </w:t>
      </w:r>
      <w:r w:rsidR="00CB78E6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III</w:t>
      </w:r>
      <w:r w:rsidR="00951459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kwartale</w:t>
      </w:r>
      <w:r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2018</w:t>
      </w:r>
      <w:r w:rsid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r.</w:t>
      </w:r>
      <w:r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przyjęto</w:t>
      </w:r>
      <w:r w:rsidR="00951459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w Polce 2 725</w:t>
      </w:r>
      <w:r w:rsidR="00625597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stron maszynopisu aktów pr</w:t>
      </w:r>
      <w:r w:rsidR="00565EE2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awnych najwyższego r</w:t>
      </w:r>
      <w:r w:rsidR="0098693F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zędu. </w:t>
      </w:r>
      <w:r w:rsidR="00CB78E6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To spadek </w:t>
      </w:r>
      <w:r w:rsidR="00CC510A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o 35,8</w:t>
      </w:r>
      <w:r w:rsidR="00CB78E6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proc. w porównaniu z </w:t>
      </w:r>
      <w:r w:rsidR="00565EE2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analogicznym okresem ubiegłego roku</w:t>
      </w:r>
      <w:r w:rsidR="0098693F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– </w:t>
      </w:r>
      <w:r w:rsidR="00CB78E6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wynika z </w:t>
      </w:r>
      <w:r w:rsidR="00F10F54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najnowszej aktualizacji „</w:t>
      </w:r>
      <w:r w:rsidR="00F10F54" w:rsidRPr="00043B07">
        <w:rPr>
          <w:rFonts w:asciiTheme="majorHAnsi" w:hAnsiTheme="majorHAnsi" w:cstheme="majorHAnsi"/>
          <w:bCs/>
          <w:color w:val="4F2D7F"/>
          <w:kern w:val="32"/>
          <w:sz w:val="32"/>
          <w:szCs w:val="28"/>
          <w:lang w:val="pl-PL"/>
        </w:rPr>
        <w:t>Barometru</w:t>
      </w:r>
      <w:r w:rsidR="00F10F54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s</w:t>
      </w:r>
      <w:r w:rsidR="00CB78E6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tabilności otoczenia prawnego w </w:t>
      </w:r>
      <w:r w:rsidR="00F10F54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Polsce”</w:t>
      </w:r>
      <w:r w:rsidR="00CB78E6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.</w:t>
      </w:r>
      <w:r w:rsidR="00F10F54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</w:t>
      </w: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8296D" w:rsidRDefault="00F10F54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>
        <w:rPr>
          <w:rFonts w:eastAsia="Calibri" w:cstheme="minorHAnsi"/>
          <w:sz w:val="20"/>
          <w:lang w:val="pl-PL"/>
        </w:rPr>
        <w:t>Firma au</w:t>
      </w:r>
      <w:r w:rsidR="00043B07">
        <w:rPr>
          <w:rFonts w:eastAsia="Calibri" w:cstheme="minorHAnsi"/>
          <w:sz w:val="20"/>
          <w:lang w:val="pl-PL"/>
        </w:rPr>
        <w:t>dytorsko-doradcza</w:t>
      </w:r>
      <w:r w:rsidRPr="00F10F54">
        <w:rPr>
          <w:rFonts w:eastAsia="Calibri" w:cstheme="minorHAnsi"/>
          <w:sz w:val="20"/>
          <w:lang w:val="pl-PL"/>
        </w:rPr>
        <w:t xml:space="preserve"> Grant Thornton w lutym 2015 r. zainaugurowała swój projekt badawczy „Barometr stabilności otoczeni</w:t>
      </w:r>
      <w:r w:rsidR="00CB78E6">
        <w:rPr>
          <w:rFonts w:eastAsia="Calibri" w:cstheme="minorHAnsi"/>
          <w:sz w:val="20"/>
          <w:lang w:val="pl-PL"/>
        </w:rPr>
        <w:t>a prawnego w Polsce</w:t>
      </w:r>
      <w:r w:rsidRPr="00F10F54">
        <w:rPr>
          <w:rFonts w:eastAsia="Calibri" w:cstheme="minorHAnsi"/>
          <w:sz w:val="20"/>
          <w:lang w:val="pl-PL"/>
        </w:rPr>
        <w:t xml:space="preserve">”, w ramach którego monitoruje na bieżąco </w:t>
      </w:r>
      <w:r w:rsidR="00CB78E6">
        <w:rPr>
          <w:rFonts w:eastAsia="Calibri" w:cstheme="minorHAnsi"/>
          <w:sz w:val="20"/>
          <w:lang w:val="pl-PL"/>
        </w:rPr>
        <w:t>zmienność</w:t>
      </w:r>
      <w:r w:rsidRPr="00F10F54">
        <w:rPr>
          <w:rFonts w:eastAsia="Calibri" w:cstheme="minorHAnsi"/>
          <w:sz w:val="20"/>
          <w:lang w:val="pl-PL"/>
        </w:rPr>
        <w:t xml:space="preserve"> polskiego systemu prawnego. </w:t>
      </w:r>
      <w:r w:rsidR="00043B07">
        <w:rPr>
          <w:rFonts w:eastAsia="Calibri" w:cstheme="minorHAnsi"/>
          <w:sz w:val="20"/>
          <w:lang w:val="pl-PL"/>
        </w:rPr>
        <w:t>Od tego czasu raz do roku publikuje raport na temat skali produkcji nowego prawa w Polsce, a co trzy miesiące przedstawia skrócone aktualizacje kwartal</w:t>
      </w:r>
      <w:r w:rsidR="0098693F">
        <w:rPr>
          <w:rFonts w:eastAsia="Calibri" w:cstheme="minorHAnsi"/>
          <w:sz w:val="20"/>
          <w:lang w:val="pl-PL"/>
        </w:rPr>
        <w:t>n</w:t>
      </w:r>
      <w:r w:rsidR="00043B07">
        <w:rPr>
          <w:rFonts w:eastAsia="Calibri" w:cstheme="minorHAnsi"/>
          <w:sz w:val="20"/>
          <w:lang w:val="pl-PL"/>
        </w:rPr>
        <w:t>e.</w:t>
      </w: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043B07" w:rsidRDefault="00CC1A63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>
        <w:rPr>
          <w:rFonts w:eastAsia="Calibri" w:cstheme="minorHAnsi"/>
          <w:sz w:val="20"/>
          <w:lang w:val="pl-PL"/>
        </w:rPr>
        <w:t xml:space="preserve">Wnioski </w:t>
      </w:r>
      <w:r w:rsidR="004A4534">
        <w:rPr>
          <w:rFonts w:eastAsia="Calibri" w:cstheme="minorHAnsi"/>
          <w:sz w:val="20"/>
          <w:lang w:val="pl-PL"/>
        </w:rPr>
        <w:t>płynące z najnowszej aktu</w:t>
      </w:r>
      <w:r w:rsidR="00043B07">
        <w:rPr>
          <w:rFonts w:eastAsia="Calibri" w:cstheme="minorHAnsi"/>
          <w:sz w:val="20"/>
          <w:lang w:val="pl-PL"/>
        </w:rPr>
        <w:t>alizacji bada</w:t>
      </w:r>
      <w:r w:rsidR="00F03413">
        <w:rPr>
          <w:rFonts w:eastAsia="Calibri" w:cstheme="minorHAnsi"/>
          <w:sz w:val="20"/>
          <w:lang w:val="pl-PL"/>
        </w:rPr>
        <w:t xml:space="preserve">nia – </w:t>
      </w:r>
      <w:r w:rsidR="00CC510A">
        <w:rPr>
          <w:rFonts w:eastAsia="Calibri" w:cstheme="minorHAnsi"/>
          <w:sz w:val="20"/>
          <w:lang w:val="pl-PL"/>
        </w:rPr>
        <w:t>po trzecim kwartale</w:t>
      </w:r>
      <w:r w:rsidR="00F03413">
        <w:rPr>
          <w:rFonts w:eastAsia="Calibri" w:cstheme="minorHAnsi"/>
          <w:sz w:val="20"/>
          <w:lang w:val="pl-PL"/>
        </w:rPr>
        <w:t xml:space="preserve"> 2018</w:t>
      </w:r>
      <w:r w:rsidR="00043B07">
        <w:rPr>
          <w:rFonts w:eastAsia="Calibri" w:cstheme="minorHAnsi"/>
          <w:sz w:val="20"/>
          <w:lang w:val="pl-PL"/>
        </w:rPr>
        <w:t xml:space="preserve"> r. –</w:t>
      </w:r>
      <w:r w:rsidR="00F03413">
        <w:rPr>
          <w:rFonts w:eastAsia="Calibri" w:cstheme="minorHAnsi"/>
          <w:sz w:val="20"/>
          <w:lang w:val="pl-PL"/>
        </w:rPr>
        <w:t xml:space="preserve"> są </w:t>
      </w:r>
      <w:r w:rsidR="00043B07">
        <w:rPr>
          <w:rFonts w:eastAsia="Calibri" w:cstheme="minorHAnsi"/>
          <w:sz w:val="20"/>
          <w:lang w:val="pl-PL"/>
        </w:rPr>
        <w:t xml:space="preserve">optymistyczne. </w:t>
      </w:r>
      <w:r w:rsidR="00CC510A">
        <w:rPr>
          <w:rFonts w:eastAsia="Calibri" w:cstheme="minorHAnsi"/>
          <w:sz w:val="20"/>
          <w:lang w:val="pl-PL"/>
        </w:rPr>
        <w:t>Zarysowana w ostatnim roku tendencja wyhamowania skali produkcji prawa w Polsce utrzymuje się. W okresie lipiec-wrzesień 2018 r.</w:t>
      </w:r>
      <w:r w:rsidR="004A4534">
        <w:rPr>
          <w:rFonts w:eastAsia="Calibri" w:cstheme="minorHAnsi"/>
          <w:sz w:val="20"/>
          <w:lang w:val="pl-PL"/>
        </w:rPr>
        <w:t xml:space="preserve"> </w:t>
      </w:r>
      <w:r w:rsidR="00D80C66">
        <w:rPr>
          <w:rFonts w:eastAsia="Calibri" w:cstheme="minorHAnsi"/>
          <w:sz w:val="20"/>
          <w:lang w:val="pl-PL"/>
        </w:rPr>
        <w:t>uchwalono</w:t>
      </w:r>
      <w:r w:rsidR="00043B07">
        <w:rPr>
          <w:rFonts w:eastAsia="Calibri" w:cstheme="minorHAnsi"/>
          <w:sz w:val="20"/>
          <w:lang w:val="pl-PL"/>
        </w:rPr>
        <w:t xml:space="preserve"> w Polsce</w:t>
      </w:r>
      <w:r w:rsidR="00CC510A">
        <w:rPr>
          <w:rFonts w:eastAsia="Calibri" w:cstheme="minorHAnsi"/>
          <w:sz w:val="20"/>
          <w:lang w:val="pl-PL"/>
        </w:rPr>
        <w:t xml:space="preserve"> 2 725</w:t>
      </w:r>
      <w:r w:rsidR="00D80C66">
        <w:rPr>
          <w:rFonts w:eastAsia="Calibri" w:cstheme="minorHAnsi"/>
          <w:sz w:val="20"/>
          <w:lang w:val="pl-PL"/>
        </w:rPr>
        <w:t xml:space="preserve"> stron maszynopisu aktów prawnych</w:t>
      </w:r>
      <w:r w:rsidR="00B23987">
        <w:rPr>
          <w:rFonts w:eastAsia="Calibri" w:cstheme="minorHAnsi"/>
          <w:sz w:val="20"/>
          <w:lang w:val="pl-PL"/>
        </w:rPr>
        <w:t xml:space="preserve"> najwyższego rzędu</w:t>
      </w:r>
      <w:r w:rsidR="0098693F">
        <w:rPr>
          <w:rFonts w:eastAsia="Calibri" w:cstheme="minorHAnsi"/>
          <w:sz w:val="20"/>
          <w:lang w:val="pl-PL"/>
        </w:rPr>
        <w:t xml:space="preserve"> (</w:t>
      </w:r>
      <w:r w:rsidR="00043B07">
        <w:rPr>
          <w:rFonts w:eastAsia="Calibri" w:cstheme="minorHAnsi"/>
          <w:sz w:val="20"/>
          <w:lang w:val="pl-PL"/>
        </w:rPr>
        <w:t>ustaw i rozporządzeń</w:t>
      </w:r>
      <w:r w:rsidR="0098693F">
        <w:rPr>
          <w:rFonts w:eastAsia="Calibri" w:cstheme="minorHAnsi"/>
          <w:sz w:val="20"/>
          <w:lang w:val="pl-PL"/>
        </w:rPr>
        <w:t>)</w:t>
      </w:r>
      <w:r w:rsidR="00043B07">
        <w:rPr>
          <w:rFonts w:eastAsia="Calibri" w:cstheme="minorHAnsi"/>
          <w:sz w:val="20"/>
          <w:lang w:val="pl-PL"/>
        </w:rPr>
        <w:t>. J</w:t>
      </w:r>
      <w:r w:rsidR="00B23987">
        <w:rPr>
          <w:rFonts w:eastAsia="Calibri" w:cstheme="minorHAnsi"/>
          <w:sz w:val="20"/>
          <w:lang w:val="pl-PL"/>
        </w:rPr>
        <w:t>est</w:t>
      </w:r>
      <w:r w:rsidR="00043B07">
        <w:rPr>
          <w:rFonts w:eastAsia="Calibri" w:cstheme="minorHAnsi"/>
          <w:sz w:val="20"/>
          <w:lang w:val="pl-PL"/>
        </w:rPr>
        <w:t xml:space="preserve"> to</w:t>
      </w:r>
      <w:r w:rsidR="00B23987">
        <w:rPr>
          <w:rFonts w:eastAsia="Calibri" w:cstheme="minorHAnsi"/>
          <w:sz w:val="20"/>
          <w:lang w:val="pl-PL"/>
        </w:rPr>
        <w:t xml:space="preserve"> </w:t>
      </w:r>
      <w:r w:rsidR="00CC510A">
        <w:rPr>
          <w:rFonts w:eastAsia="Calibri" w:cstheme="minorHAnsi"/>
          <w:sz w:val="20"/>
          <w:lang w:val="pl-PL"/>
        </w:rPr>
        <w:t>wynik aż o 35,8</w:t>
      </w:r>
      <w:r w:rsidR="001260ED">
        <w:rPr>
          <w:rFonts w:eastAsia="Calibri" w:cstheme="minorHAnsi"/>
          <w:sz w:val="20"/>
          <w:lang w:val="pl-PL"/>
        </w:rPr>
        <w:t xml:space="preserve"> proc. niższy</w:t>
      </w:r>
      <w:r w:rsidR="00CC510A">
        <w:rPr>
          <w:rFonts w:eastAsia="Calibri" w:cstheme="minorHAnsi"/>
          <w:sz w:val="20"/>
          <w:lang w:val="pl-PL"/>
        </w:rPr>
        <w:t xml:space="preserve"> niż odnotowany w</w:t>
      </w:r>
      <w:r w:rsidR="001260ED">
        <w:rPr>
          <w:rFonts w:eastAsia="Calibri" w:cstheme="minorHAnsi"/>
          <w:sz w:val="20"/>
          <w:lang w:val="pl-PL"/>
        </w:rPr>
        <w:t xml:space="preserve"> analogicznym o</w:t>
      </w:r>
      <w:r w:rsidR="00CC510A">
        <w:rPr>
          <w:rFonts w:eastAsia="Calibri" w:cstheme="minorHAnsi"/>
          <w:sz w:val="20"/>
          <w:lang w:val="pl-PL"/>
        </w:rPr>
        <w:t>kresie</w:t>
      </w:r>
      <w:r w:rsidR="0098693F">
        <w:rPr>
          <w:rFonts w:eastAsia="Calibri" w:cstheme="minorHAnsi"/>
          <w:sz w:val="20"/>
          <w:lang w:val="pl-PL"/>
        </w:rPr>
        <w:t xml:space="preserve"> ubiegłego roku. To dobra wiadomość dla polskich firm i obywateli, ponieważ oznacza, że</w:t>
      </w:r>
      <w:r w:rsidR="001260ED">
        <w:rPr>
          <w:rFonts w:eastAsia="Calibri" w:cstheme="minorHAnsi"/>
          <w:sz w:val="20"/>
          <w:lang w:val="pl-PL"/>
        </w:rPr>
        <w:t xml:space="preserve"> </w:t>
      </w:r>
      <w:r w:rsidR="00CC510A">
        <w:rPr>
          <w:rFonts w:eastAsia="Calibri" w:cstheme="minorHAnsi"/>
          <w:sz w:val="20"/>
          <w:lang w:val="pl-PL"/>
        </w:rPr>
        <w:t xml:space="preserve">rekordowa produkcja prawa – odnotowana w 2016 r. </w:t>
      </w:r>
      <w:r w:rsidR="00115AC3">
        <w:rPr>
          <w:rFonts w:eastAsia="Calibri" w:cstheme="minorHAnsi"/>
          <w:sz w:val="20"/>
          <w:lang w:val="pl-PL"/>
        </w:rPr>
        <w:t xml:space="preserve">– przechodzi do historii. Przypominamy, że w 2017 r. liczba stron nowych aktów prawnych spadła </w:t>
      </w:r>
      <w:r w:rsidR="00367A05">
        <w:rPr>
          <w:rFonts w:eastAsia="Calibri" w:cstheme="minorHAnsi"/>
          <w:sz w:val="20"/>
          <w:lang w:val="pl-PL"/>
        </w:rPr>
        <w:t>o 15 proc. w stosunku do roku poprzedniego</w:t>
      </w:r>
      <w:r w:rsidR="00115AC3">
        <w:rPr>
          <w:rFonts w:eastAsia="Calibri" w:cstheme="minorHAnsi"/>
          <w:sz w:val="20"/>
          <w:lang w:val="pl-PL"/>
        </w:rPr>
        <w:t xml:space="preserve">, a w pierwszym półroczu 2018 r. </w:t>
      </w:r>
      <w:r w:rsidR="00CB78E6">
        <w:rPr>
          <w:rFonts w:eastAsia="Calibri" w:cstheme="minorHAnsi"/>
          <w:sz w:val="20"/>
          <w:lang w:val="pl-PL"/>
        </w:rPr>
        <w:t xml:space="preserve">– </w:t>
      </w:r>
      <w:r w:rsidR="00115AC3">
        <w:rPr>
          <w:rFonts w:eastAsia="Calibri" w:cstheme="minorHAnsi"/>
          <w:sz w:val="20"/>
          <w:lang w:val="pl-PL"/>
        </w:rPr>
        <w:t>o 50 proc</w:t>
      </w:r>
      <w:r w:rsidR="00367A05">
        <w:rPr>
          <w:rFonts w:eastAsia="Calibri" w:cstheme="minorHAnsi"/>
          <w:sz w:val="20"/>
          <w:lang w:val="pl-PL"/>
        </w:rPr>
        <w:t xml:space="preserve">. </w:t>
      </w:r>
    </w:p>
    <w:p w:rsidR="00367A05" w:rsidRPr="00043B07" w:rsidRDefault="00367A05" w:rsidP="00D8712F">
      <w:pPr>
        <w:pStyle w:val="Tekstpodstawowy"/>
        <w:spacing w:after="0" w:line="360" w:lineRule="auto"/>
        <w:rPr>
          <w:rFonts w:eastAsia="Calibri" w:cstheme="minorHAnsi"/>
          <w:b/>
          <w:sz w:val="20"/>
          <w:lang w:val="pl-PL"/>
        </w:rPr>
      </w:pPr>
    </w:p>
    <w:p w:rsidR="00D8712F" w:rsidRDefault="009F497C" w:rsidP="00D8712F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  <w:r>
        <w:rPr>
          <w:rFonts w:eastAsia="Calibri" w:cstheme="minorHAnsi"/>
          <w:b/>
          <w:color w:val="4F2D7F"/>
          <w:sz w:val="20"/>
          <w:lang w:val="pl-PL"/>
        </w:rPr>
        <w:t>Łącznie w pierwszych trzech kwartałach 2018 r. w życie weszło 11 452 strony maszynopisu nowego prawa. Ozna</w:t>
      </w:r>
      <w:r w:rsidR="00315093">
        <w:rPr>
          <w:rFonts w:eastAsia="Calibri" w:cstheme="minorHAnsi"/>
          <w:b/>
          <w:color w:val="4F2D7F"/>
          <w:sz w:val="20"/>
          <w:lang w:val="pl-PL"/>
        </w:rPr>
        <w:t xml:space="preserve">cza to spadek o 48,7 proc. wobec analogicznego okresu ubiegłego roku. </w:t>
      </w:r>
      <w:r w:rsidR="0098693F">
        <w:rPr>
          <w:rFonts w:eastAsia="Calibri" w:cstheme="minorHAnsi"/>
          <w:b/>
          <w:color w:val="4F2D7F"/>
          <w:sz w:val="20"/>
          <w:lang w:val="pl-PL"/>
        </w:rPr>
        <w:t xml:space="preserve">Jeśli </w:t>
      </w:r>
      <w:r w:rsidR="00315093">
        <w:rPr>
          <w:rFonts w:eastAsia="Calibri" w:cstheme="minorHAnsi"/>
          <w:b/>
          <w:color w:val="4F2D7F"/>
          <w:sz w:val="20"/>
          <w:lang w:val="pl-PL"/>
        </w:rPr>
        <w:t>założyć, że taka dynamika</w:t>
      </w:r>
      <w:r>
        <w:rPr>
          <w:rFonts w:eastAsia="Calibri" w:cstheme="minorHAnsi"/>
          <w:b/>
          <w:color w:val="4F2D7F"/>
          <w:sz w:val="20"/>
          <w:lang w:val="pl-PL"/>
        </w:rPr>
        <w:t xml:space="preserve"> utrzyma się</w:t>
      </w:r>
      <w:r w:rsidR="00315093">
        <w:rPr>
          <w:rFonts w:eastAsia="Calibri" w:cstheme="minorHAnsi"/>
          <w:b/>
          <w:color w:val="4F2D7F"/>
          <w:sz w:val="20"/>
          <w:lang w:val="pl-PL"/>
        </w:rPr>
        <w:t xml:space="preserve"> również w czwartym kwartale</w:t>
      </w:r>
      <w:r w:rsidR="00367A05">
        <w:rPr>
          <w:rFonts w:eastAsia="Calibri" w:cstheme="minorHAnsi"/>
          <w:b/>
          <w:color w:val="4F2D7F"/>
          <w:sz w:val="20"/>
          <w:lang w:val="pl-PL"/>
        </w:rPr>
        <w:t>, to w całym 2</w:t>
      </w:r>
      <w:r w:rsidR="00315093">
        <w:rPr>
          <w:rFonts w:eastAsia="Calibri" w:cstheme="minorHAnsi"/>
          <w:b/>
          <w:color w:val="4F2D7F"/>
          <w:sz w:val="20"/>
          <w:lang w:val="pl-PL"/>
        </w:rPr>
        <w:t>018</w:t>
      </w:r>
      <w:r w:rsidR="00284CBE">
        <w:rPr>
          <w:rFonts w:eastAsia="Calibri" w:cstheme="minorHAnsi"/>
          <w:b/>
          <w:color w:val="4F2D7F"/>
          <w:sz w:val="20"/>
          <w:lang w:val="pl-PL"/>
        </w:rPr>
        <w:t xml:space="preserve"> roku przyjętych zostanie</w:t>
      </w:r>
      <w:r w:rsidR="00022E9E">
        <w:rPr>
          <w:rFonts w:eastAsia="Calibri" w:cstheme="minorHAnsi"/>
          <w:b/>
          <w:color w:val="4F2D7F"/>
          <w:sz w:val="20"/>
          <w:lang w:val="pl-PL"/>
        </w:rPr>
        <w:t xml:space="preserve"> 13 91</w:t>
      </w:r>
      <w:r w:rsidR="00315093">
        <w:rPr>
          <w:rFonts w:eastAsia="Calibri" w:cstheme="minorHAnsi"/>
          <w:b/>
          <w:color w:val="4F2D7F"/>
          <w:sz w:val="20"/>
          <w:lang w:val="pl-PL"/>
        </w:rPr>
        <w:t>1</w:t>
      </w:r>
      <w:r w:rsidR="00DA5B3C">
        <w:rPr>
          <w:rFonts w:eastAsia="Calibri" w:cstheme="minorHAnsi"/>
          <w:b/>
          <w:color w:val="4F2D7F"/>
          <w:sz w:val="20"/>
          <w:lang w:val="pl-PL"/>
        </w:rPr>
        <w:t xml:space="preserve"> stron maszynopisu aktów prawny</w:t>
      </w:r>
      <w:r w:rsidR="0098693F">
        <w:rPr>
          <w:rFonts w:eastAsia="Calibri" w:cstheme="minorHAnsi"/>
          <w:b/>
          <w:color w:val="4F2D7F"/>
          <w:sz w:val="20"/>
          <w:lang w:val="pl-PL"/>
        </w:rPr>
        <w:t>ch. Oznaczałoby to, że pod względem produkcji prawa</w:t>
      </w:r>
      <w:r w:rsidR="00987602">
        <w:rPr>
          <w:rFonts w:eastAsia="Calibri" w:cstheme="minorHAnsi"/>
          <w:b/>
          <w:color w:val="4F2D7F"/>
          <w:sz w:val="20"/>
          <w:lang w:val="pl-PL"/>
        </w:rPr>
        <w:t xml:space="preserve"> wrócimy </w:t>
      </w:r>
      <w:r w:rsidR="00DA5B3C">
        <w:rPr>
          <w:rFonts w:eastAsia="Calibri" w:cstheme="minorHAnsi"/>
          <w:b/>
          <w:color w:val="4F2D7F"/>
          <w:sz w:val="20"/>
          <w:lang w:val="pl-PL"/>
        </w:rPr>
        <w:t>do poziomu</w:t>
      </w:r>
      <w:r w:rsidR="00987602">
        <w:rPr>
          <w:rFonts w:eastAsia="Calibri" w:cstheme="minorHAnsi"/>
          <w:b/>
          <w:color w:val="4F2D7F"/>
          <w:sz w:val="20"/>
          <w:lang w:val="pl-PL"/>
        </w:rPr>
        <w:t xml:space="preserve"> z 2008 r., kiedy to</w:t>
      </w:r>
      <w:r w:rsidR="00CD6259">
        <w:rPr>
          <w:rFonts w:eastAsia="Calibri" w:cstheme="minorHAnsi"/>
          <w:b/>
          <w:color w:val="4F2D7F"/>
          <w:sz w:val="20"/>
          <w:lang w:val="pl-PL"/>
        </w:rPr>
        <w:t xml:space="preserve"> wyprodukowano</w:t>
      </w:r>
      <w:r w:rsidR="00987602">
        <w:rPr>
          <w:rFonts w:eastAsia="Calibri" w:cstheme="minorHAnsi"/>
          <w:b/>
          <w:color w:val="4F2D7F"/>
          <w:sz w:val="20"/>
          <w:lang w:val="pl-PL"/>
        </w:rPr>
        <w:t xml:space="preserve"> w Polsce</w:t>
      </w:r>
      <w:r w:rsidR="00CD6259">
        <w:rPr>
          <w:rFonts w:eastAsia="Calibri" w:cstheme="minorHAnsi"/>
          <w:b/>
          <w:color w:val="4F2D7F"/>
          <w:sz w:val="20"/>
          <w:lang w:val="pl-PL"/>
        </w:rPr>
        <w:t xml:space="preserve"> 13,7 tys. stron aktów prawnych. </w:t>
      </w:r>
    </w:p>
    <w:p w:rsidR="00D8712F" w:rsidRPr="00F10F54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712F" w:rsidRDefault="00D8712F" w:rsidP="00D8712F">
      <w:pPr>
        <w:pStyle w:val="Tekstpodstawowy"/>
        <w:spacing w:after="0" w:line="360" w:lineRule="auto"/>
        <w:rPr>
          <w:b/>
          <w:lang w:val="pl-PL"/>
        </w:rPr>
      </w:pPr>
    </w:p>
    <w:p w:rsidR="00E94767" w:rsidRDefault="00E94767" w:rsidP="00D8712F">
      <w:pPr>
        <w:pStyle w:val="Tekstpodstawowy"/>
        <w:spacing w:after="0" w:line="360" w:lineRule="auto"/>
        <w:rPr>
          <w:lang w:val="pl-PL"/>
        </w:rPr>
      </w:pPr>
      <w:r w:rsidRPr="00043B07">
        <w:rPr>
          <w:b/>
          <w:lang w:val="pl-PL"/>
        </w:rPr>
        <w:t>Wykres</w:t>
      </w:r>
      <w:r w:rsidRPr="00043B07">
        <w:rPr>
          <w:lang w:val="pl-PL"/>
        </w:rPr>
        <w:t>. Liczba stron aktów prawnych, które ukazały się w Dzienniku Ustaw w poszczególnych latach</w:t>
      </w:r>
    </w:p>
    <w:p w:rsidR="00D8712F" w:rsidRPr="00043B07" w:rsidRDefault="00D8712F" w:rsidP="00D8712F">
      <w:pPr>
        <w:pStyle w:val="Tekstpodstawowy"/>
        <w:spacing w:after="0" w:line="360" w:lineRule="auto"/>
        <w:rPr>
          <w:lang w:val="pl-PL"/>
        </w:rPr>
      </w:pPr>
    </w:p>
    <w:p w:rsidR="00E94767" w:rsidRDefault="00A96A76" w:rsidP="00D8712F">
      <w:pPr>
        <w:pStyle w:val="Tekstpodstawowy"/>
        <w:spacing w:after="0" w:line="360" w:lineRule="auto"/>
        <w:rPr>
          <w:sz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3E10519" wp14:editId="7DB9D5CC">
            <wp:extent cx="6347460" cy="2872740"/>
            <wp:effectExtent l="0" t="0" r="0" b="381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712F" w:rsidRPr="0071541C" w:rsidRDefault="00D8712F" w:rsidP="00D8712F">
      <w:pPr>
        <w:pStyle w:val="Tekstpodstawowy"/>
        <w:spacing w:after="0" w:line="360" w:lineRule="auto"/>
        <w:rPr>
          <w:sz w:val="14"/>
          <w:lang w:val="pl-PL"/>
        </w:rPr>
      </w:pPr>
    </w:p>
    <w:p w:rsidR="007B4C13" w:rsidRPr="00981E97" w:rsidRDefault="00E94767" w:rsidP="00D8712F">
      <w:pPr>
        <w:pStyle w:val="Tekstpodstawowy"/>
        <w:spacing w:after="0" w:line="360" w:lineRule="auto"/>
        <w:rPr>
          <w:sz w:val="16"/>
          <w:lang w:val="pl-PL"/>
        </w:rPr>
      </w:pPr>
      <w:r w:rsidRPr="00981E97">
        <w:rPr>
          <w:sz w:val="16"/>
          <w:lang w:val="pl-PL"/>
        </w:rPr>
        <w:t>*Liczba stron</w:t>
      </w:r>
      <w:r w:rsidR="00E97F7E" w:rsidRPr="00981E97">
        <w:rPr>
          <w:sz w:val="16"/>
          <w:lang w:val="pl-PL"/>
        </w:rPr>
        <w:t xml:space="preserve"> aktów prawnych za cały rok 2018</w:t>
      </w:r>
      <w:r w:rsidRPr="00981E97">
        <w:rPr>
          <w:sz w:val="16"/>
          <w:lang w:val="pl-PL"/>
        </w:rPr>
        <w:t xml:space="preserve">, skalkulowana przy założeniu, że w całym </w:t>
      </w:r>
      <w:r w:rsidR="007B4C13" w:rsidRPr="00981E97">
        <w:rPr>
          <w:sz w:val="16"/>
          <w:lang w:val="pl-PL"/>
        </w:rPr>
        <w:t>roku</w:t>
      </w:r>
      <w:r w:rsidRPr="00981E97">
        <w:rPr>
          <w:sz w:val="16"/>
          <w:lang w:val="pl-PL"/>
        </w:rPr>
        <w:t xml:space="preserve"> utrzymana zostanie dynamika odno</w:t>
      </w:r>
      <w:r w:rsidR="007B4C13" w:rsidRPr="00981E97">
        <w:rPr>
          <w:sz w:val="16"/>
          <w:lang w:val="pl-PL"/>
        </w:rPr>
        <w:t xml:space="preserve">towana w </w:t>
      </w:r>
      <w:r w:rsidR="00981E97" w:rsidRPr="00981E97">
        <w:rPr>
          <w:sz w:val="16"/>
          <w:lang w:val="pl-PL"/>
        </w:rPr>
        <w:t xml:space="preserve">pierwszych trzech kwartałach 2018 r., czyli </w:t>
      </w:r>
      <w:r w:rsidR="00022E9E">
        <w:rPr>
          <w:sz w:val="16"/>
          <w:lang w:val="pl-PL"/>
        </w:rPr>
        <w:t xml:space="preserve">spadek o </w:t>
      </w:r>
      <w:r w:rsidR="00981E97" w:rsidRPr="00981E97">
        <w:rPr>
          <w:sz w:val="16"/>
          <w:lang w:val="pl-PL"/>
        </w:rPr>
        <w:t>48,7</w:t>
      </w:r>
      <w:r w:rsidRPr="00981E97">
        <w:rPr>
          <w:sz w:val="16"/>
          <w:lang w:val="pl-PL"/>
        </w:rPr>
        <w:t xml:space="preserve"> proc. rok do roku.</w:t>
      </w:r>
    </w:p>
    <w:p w:rsidR="00E94767" w:rsidRPr="00981E97" w:rsidRDefault="00E94767" w:rsidP="00D8712F">
      <w:pPr>
        <w:pStyle w:val="Tekstpodstawowy"/>
        <w:spacing w:after="0" w:line="360" w:lineRule="auto"/>
        <w:rPr>
          <w:sz w:val="16"/>
          <w:lang w:val="pl-PL"/>
        </w:rPr>
      </w:pPr>
      <w:r w:rsidRPr="00981E97">
        <w:rPr>
          <w:sz w:val="16"/>
          <w:lang w:val="pl-PL"/>
        </w:rPr>
        <w:t>Źródło: Opracowanie własne Grant Thornton na podstawie Dziennika Ustaw</w:t>
      </w:r>
    </w:p>
    <w:p w:rsidR="000A7AC8" w:rsidRDefault="000A7AC8" w:rsidP="000A7AC8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  <w:r>
        <w:rPr>
          <w:rFonts w:eastAsia="Calibri"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67DD70CD" wp14:editId="353D672D">
            <wp:simplePos x="0" y="0"/>
            <wp:positionH relativeFrom="column">
              <wp:posOffset>-59055</wp:posOffset>
            </wp:positionH>
            <wp:positionV relativeFrom="paragraph">
              <wp:posOffset>234315</wp:posOffset>
            </wp:positionV>
            <wp:extent cx="660434" cy="615982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34" cy="61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theme="minorHAnsi"/>
          <w:b/>
          <w:color w:val="4F2D7F"/>
          <w:sz w:val="20"/>
          <w:lang w:val="pl-PL"/>
        </w:rPr>
        <w:t xml:space="preserve"> </w:t>
      </w:r>
    </w:p>
    <w:p w:rsidR="000A7AC8" w:rsidRDefault="000A7AC8" w:rsidP="000A7AC8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0A7AC8" w:rsidRDefault="000A7AC8" w:rsidP="000A7AC8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>
        <w:rPr>
          <w:rFonts w:eastAsia="Calibri" w:cstheme="minorHAnsi"/>
          <w:i/>
          <w:sz w:val="20"/>
          <w:lang w:val="pl-PL"/>
        </w:rPr>
        <w:t xml:space="preserve">Ogromna i rosnąca zmienność prawa to w ostatnich latach jedna z największych barier w rozwoju firm w Polsce. Zmusza przedsiębiorców nie tylko do ponoszenia kosztów związanych z dostosowaniem się do nowych przepisów, ale zniechęca ich też do podejmowania odważnych decyzji inwestycyjnych, bo naraża przedsiębiorstwa na ryzyko biznesowe. Dlatego z optymizmem przyjmujemy fakt, że w ostatnich kwartałach system prawny w Polsce wyraźnie się stabilizuje </w:t>
      </w:r>
      <w:r>
        <w:rPr>
          <w:rFonts w:eastAsia="Calibri" w:cstheme="minorHAnsi"/>
          <w:sz w:val="20"/>
          <w:lang w:val="pl-PL"/>
        </w:rPr>
        <w:t xml:space="preserve">– komentuje </w:t>
      </w:r>
      <w:r>
        <w:rPr>
          <w:rFonts w:eastAsia="Calibri" w:cstheme="minorHAnsi"/>
          <w:b/>
          <w:sz w:val="20"/>
          <w:lang w:val="pl-PL"/>
        </w:rPr>
        <w:t>Tomasz Wróblewski</w:t>
      </w:r>
      <w:r>
        <w:rPr>
          <w:rFonts w:eastAsia="Calibri" w:cstheme="minorHAnsi"/>
          <w:sz w:val="20"/>
          <w:lang w:val="pl-PL"/>
        </w:rPr>
        <w:t xml:space="preserve">, Partner Zarządzający Grant Thornton. – </w:t>
      </w:r>
      <w:r>
        <w:rPr>
          <w:rFonts w:eastAsia="Calibri" w:cstheme="minorHAnsi"/>
          <w:i/>
          <w:sz w:val="20"/>
          <w:lang w:val="pl-PL"/>
        </w:rPr>
        <w:t xml:space="preserve">W końcu przestaliśmy bić rekordy produkcji prawa. Oby to był trwały trend, a nie tylko chwilowy odpoczynek od legislacyjnej burzy </w:t>
      </w:r>
      <w:r>
        <w:rPr>
          <w:rFonts w:eastAsia="Calibri" w:cstheme="minorHAnsi"/>
          <w:sz w:val="20"/>
          <w:lang w:val="pl-PL"/>
        </w:rPr>
        <w:t xml:space="preserve">– dodaje. </w:t>
      </w:r>
    </w:p>
    <w:p w:rsidR="007D6C93" w:rsidRDefault="007D6C93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022E9E" w:rsidRPr="00BD000B" w:rsidRDefault="00022E9E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D8712F" w:rsidRPr="00BE1677" w:rsidRDefault="00324235" w:rsidP="00D8712F">
      <w:pPr>
        <w:pStyle w:val="Tekstpodstawowy"/>
        <w:spacing w:after="0" w:line="360" w:lineRule="auto"/>
        <w:rPr>
          <w:color w:val="auto"/>
          <w:sz w:val="20"/>
          <w:lang w:val="pl-PL"/>
        </w:rPr>
      </w:pPr>
      <w:r w:rsidRPr="00BE1677">
        <w:rPr>
          <w:color w:val="auto"/>
          <w:sz w:val="20"/>
          <w:lang w:val="pl-PL"/>
        </w:rPr>
        <w:lastRenderedPageBreak/>
        <w:t>Eksperci Grant Thornton zwracają uwagę,</w:t>
      </w:r>
      <w:r w:rsidR="00125D84" w:rsidRPr="00BE1677">
        <w:rPr>
          <w:color w:val="auto"/>
          <w:sz w:val="20"/>
          <w:lang w:val="pl-PL"/>
        </w:rPr>
        <w:t xml:space="preserve"> że</w:t>
      </w:r>
      <w:r w:rsidR="00F46B2C" w:rsidRPr="00BE1677">
        <w:rPr>
          <w:color w:val="auto"/>
          <w:sz w:val="20"/>
          <w:lang w:val="pl-PL"/>
        </w:rPr>
        <w:t xml:space="preserve"> </w:t>
      </w:r>
      <w:r w:rsidRPr="00BE1677">
        <w:rPr>
          <w:color w:val="auto"/>
          <w:sz w:val="20"/>
          <w:lang w:val="pl-PL"/>
        </w:rPr>
        <w:t xml:space="preserve">choć </w:t>
      </w:r>
      <w:r w:rsidR="00F46B2C" w:rsidRPr="00BE1677">
        <w:rPr>
          <w:color w:val="auto"/>
          <w:sz w:val="20"/>
          <w:lang w:val="pl-PL"/>
        </w:rPr>
        <w:t>liczba stron aktów pr</w:t>
      </w:r>
      <w:r w:rsidRPr="00BE1677">
        <w:rPr>
          <w:color w:val="auto"/>
          <w:sz w:val="20"/>
          <w:lang w:val="pl-PL"/>
        </w:rPr>
        <w:t>awnych w ostatnich kwartałach</w:t>
      </w:r>
      <w:r w:rsidR="00F46B2C" w:rsidRPr="00BE1677">
        <w:rPr>
          <w:color w:val="auto"/>
          <w:sz w:val="20"/>
          <w:lang w:val="pl-PL"/>
        </w:rPr>
        <w:t xml:space="preserve"> zmniejsza</w:t>
      </w:r>
      <w:r w:rsidRPr="00BE1677">
        <w:rPr>
          <w:color w:val="auto"/>
          <w:sz w:val="20"/>
          <w:lang w:val="pl-PL"/>
        </w:rPr>
        <w:t xml:space="preserve"> się, to skala zmienności prawa w Polsce nadal jest stanowczo za wysoka</w:t>
      </w:r>
      <w:r w:rsidR="001E511F" w:rsidRPr="00BE1677">
        <w:rPr>
          <w:color w:val="auto"/>
          <w:sz w:val="20"/>
          <w:lang w:val="pl-PL"/>
        </w:rPr>
        <w:t>.</w:t>
      </w:r>
      <w:r w:rsidR="00C227DC" w:rsidRPr="00BE1677">
        <w:rPr>
          <w:color w:val="auto"/>
          <w:sz w:val="20"/>
          <w:lang w:val="pl-PL"/>
        </w:rPr>
        <w:t xml:space="preserve"> </w:t>
      </w:r>
      <w:r w:rsidR="00CC70BF" w:rsidRPr="00BE1677">
        <w:rPr>
          <w:color w:val="auto"/>
          <w:sz w:val="20"/>
          <w:lang w:val="pl-PL"/>
        </w:rPr>
        <w:t>W pierwszych trzech kwartałach 2018 r.</w:t>
      </w:r>
      <w:r w:rsidR="00C227DC" w:rsidRPr="00BE1677">
        <w:rPr>
          <w:color w:val="auto"/>
          <w:sz w:val="20"/>
          <w:lang w:val="pl-PL"/>
        </w:rPr>
        <w:t xml:space="preserve"> na przeczytanie wszystkich</w:t>
      </w:r>
      <w:r w:rsidRPr="00BE1677">
        <w:rPr>
          <w:color w:val="auto"/>
          <w:sz w:val="20"/>
          <w:lang w:val="pl-PL"/>
        </w:rPr>
        <w:t xml:space="preserve"> 11 452 stron</w:t>
      </w:r>
      <w:r w:rsidR="00C227DC" w:rsidRPr="00BE1677">
        <w:rPr>
          <w:color w:val="auto"/>
          <w:sz w:val="20"/>
          <w:lang w:val="pl-PL"/>
        </w:rPr>
        <w:t xml:space="preserve"> nowych </w:t>
      </w:r>
      <w:r w:rsidR="00125D84" w:rsidRPr="00BE1677">
        <w:rPr>
          <w:color w:val="auto"/>
          <w:sz w:val="20"/>
          <w:lang w:val="pl-PL"/>
        </w:rPr>
        <w:t>ustaw i rozporządzeń trzeba było</w:t>
      </w:r>
      <w:r w:rsidRPr="00BE1677">
        <w:rPr>
          <w:color w:val="auto"/>
          <w:sz w:val="20"/>
          <w:lang w:val="pl-PL"/>
        </w:rPr>
        <w:t xml:space="preserve"> poświęcić około </w:t>
      </w:r>
      <w:r w:rsidRPr="00792772">
        <w:rPr>
          <w:b/>
          <w:color w:val="auto"/>
          <w:sz w:val="20"/>
          <w:lang w:val="pl-PL"/>
        </w:rPr>
        <w:t xml:space="preserve">2 godzinę i </w:t>
      </w:r>
      <w:r w:rsidR="00C04FB3" w:rsidRPr="00792772">
        <w:rPr>
          <w:b/>
          <w:color w:val="auto"/>
          <w:sz w:val="20"/>
          <w:lang w:val="pl-PL"/>
        </w:rPr>
        <w:t>5</w:t>
      </w:r>
      <w:r w:rsidR="000B057D" w:rsidRPr="00792772">
        <w:rPr>
          <w:b/>
          <w:color w:val="auto"/>
          <w:sz w:val="20"/>
          <w:lang w:val="pl-PL"/>
        </w:rPr>
        <w:t xml:space="preserve"> minut </w:t>
      </w:r>
      <w:r w:rsidR="000B057D" w:rsidRPr="00BE1677">
        <w:rPr>
          <w:color w:val="auto"/>
          <w:sz w:val="20"/>
          <w:lang w:val="pl-PL"/>
        </w:rPr>
        <w:t>każdego dnia roboczego</w:t>
      </w:r>
      <w:r w:rsidR="00125D84" w:rsidRPr="00BE1677">
        <w:rPr>
          <w:color w:val="auto"/>
          <w:sz w:val="20"/>
          <w:lang w:val="pl-PL"/>
        </w:rPr>
        <w:t xml:space="preserve"> (przy</w:t>
      </w:r>
      <w:r w:rsidRPr="00BE1677">
        <w:rPr>
          <w:color w:val="auto"/>
          <w:sz w:val="20"/>
          <w:lang w:val="pl-PL"/>
        </w:rPr>
        <w:t xml:space="preserve"> optymistycznym</w:t>
      </w:r>
      <w:r w:rsidR="00125D84" w:rsidRPr="00BE1677">
        <w:rPr>
          <w:color w:val="auto"/>
          <w:sz w:val="20"/>
          <w:lang w:val="pl-PL"/>
        </w:rPr>
        <w:t xml:space="preserve"> założeniu, że na jedną stronę potrzeba średnio 2 minut)</w:t>
      </w:r>
      <w:r w:rsidR="000B057D" w:rsidRPr="00BE1677">
        <w:rPr>
          <w:color w:val="auto"/>
          <w:sz w:val="20"/>
          <w:lang w:val="pl-PL"/>
        </w:rPr>
        <w:t xml:space="preserve">. </w:t>
      </w:r>
      <w:r w:rsidR="00CB139C" w:rsidRPr="00BE1677">
        <w:rPr>
          <w:color w:val="auto"/>
          <w:sz w:val="20"/>
          <w:lang w:val="pl-PL"/>
        </w:rPr>
        <w:t>Dziennik ustaw opublikował w trzech kwartałach</w:t>
      </w:r>
      <w:r w:rsidR="007769A1" w:rsidRPr="00BE1677">
        <w:rPr>
          <w:color w:val="auto"/>
          <w:sz w:val="20"/>
          <w:lang w:val="pl-PL"/>
        </w:rPr>
        <w:t xml:space="preserve"> 2018 roku </w:t>
      </w:r>
      <w:r w:rsidR="00BE1677" w:rsidRPr="00BE1677">
        <w:rPr>
          <w:color w:val="auto"/>
          <w:sz w:val="20"/>
          <w:lang w:val="pl-PL"/>
        </w:rPr>
        <w:t>1395</w:t>
      </w:r>
      <w:r w:rsidR="007769A1" w:rsidRPr="00BE1677">
        <w:rPr>
          <w:color w:val="auto"/>
          <w:sz w:val="20"/>
          <w:lang w:val="pl-PL"/>
        </w:rPr>
        <w:t xml:space="preserve"> ak</w:t>
      </w:r>
      <w:r w:rsidR="00792772">
        <w:rPr>
          <w:color w:val="auto"/>
          <w:sz w:val="20"/>
          <w:lang w:val="pl-PL"/>
        </w:rPr>
        <w:t>tów prawnych, co oznacza</w:t>
      </w:r>
      <w:r w:rsidR="00136673" w:rsidRPr="00BE1677">
        <w:rPr>
          <w:color w:val="auto"/>
          <w:sz w:val="20"/>
          <w:lang w:val="pl-PL"/>
        </w:rPr>
        <w:t>, że</w:t>
      </w:r>
      <w:r w:rsidR="007769A1" w:rsidRPr="00BE1677">
        <w:rPr>
          <w:color w:val="auto"/>
          <w:sz w:val="20"/>
          <w:lang w:val="pl-PL"/>
        </w:rPr>
        <w:t xml:space="preserve"> </w:t>
      </w:r>
      <w:r w:rsidR="00136673" w:rsidRPr="00BE1677">
        <w:rPr>
          <w:color w:val="auto"/>
          <w:sz w:val="20"/>
          <w:lang w:val="pl-PL"/>
        </w:rPr>
        <w:t>o</w:t>
      </w:r>
      <w:r w:rsidR="000B057D" w:rsidRPr="00BE1677">
        <w:rPr>
          <w:color w:val="auto"/>
          <w:sz w:val="20"/>
          <w:lang w:val="pl-PL"/>
        </w:rPr>
        <w:t xml:space="preserve">becnie każdego dnia </w:t>
      </w:r>
      <w:r w:rsidR="00BE1677" w:rsidRPr="00BE1677">
        <w:rPr>
          <w:color w:val="auto"/>
          <w:sz w:val="20"/>
          <w:lang w:val="pl-PL"/>
        </w:rPr>
        <w:t>roboczego p</w:t>
      </w:r>
      <w:r w:rsidR="00792772">
        <w:rPr>
          <w:color w:val="auto"/>
          <w:sz w:val="20"/>
          <w:lang w:val="pl-PL"/>
        </w:rPr>
        <w:t xml:space="preserve">rzyjmowanych jest średnio </w:t>
      </w:r>
      <w:r w:rsidR="00792772" w:rsidRPr="00792772">
        <w:rPr>
          <w:b/>
          <w:color w:val="auto"/>
          <w:sz w:val="20"/>
          <w:lang w:val="pl-PL"/>
        </w:rPr>
        <w:t>7</w:t>
      </w:r>
      <w:r w:rsidR="00BE1677" w:rsidRPr="00792772">
        <w:rPr>
          <w:b/>
          <w:color w:val="auto"/>
          <w:sz w:val="20"/>
          <w:lang w:val="pl-PL"/>
        </w:rPr>
        <w:t xml:space="preserve"> nowych aktów prawnych </w:t>
      </w:r>
      <w:r w:rsidR="00BE1677" w:rsidRPr="00BE1677">
        <w:rPr>
          <w:color w:val="auto"/>
          <w:sz w:val="20"/>
          <w:lang w:val="pl-PL"/>
        </w:rPr>
        <w:t>najwyższej rangi</w:t>
      </w:r>
      <w:r w:rsidR="000A7AC8">
        <w:rPr>
          <w:color w:val="auto"/>
          <w:sz w:val="20"/>
          <w:lang w:val="pl-PL"/>
        </w:rPr>
        <w:t>, nie wspominając o porównywalnej objętości innych, mniej istotnych regulacji</w:t>
      </w:r>
      <w:r w:rsidR="00BD000B" w:rsidRPr="00BE1677">
        <w:rPr>
          <w:color w:val="auto"/>
          <w:sz w:val="20"/>
          <w:lang w:val="pl-PL"/>
        </w:rPr>
        <w:t>.</w:t>
      </w:r>
      <w:r w:rsidR="00E37C87" w:rsidRPr="00BE1677">
        <w:rPr>
          <w:color w:val="auto"/>
          <w:sz w:val="20"/>
          <w:lang w:val="pl-PL"/>
        </w:rPr>
        <w:t xml:space="preserve"> </w:t>
      </w:r>
      <w:r w:rsidR="00BE1677" w:rsidRPr="00BE1677">
        <w:rPr>
          <w:color w:val="auto"/>
          <w:sz w:val="20"/>
          <w:lang w:val="pl-PL"/>
        </w:rPr>
        <w:t xml:space="preserve">Wydaje się niemal niemożliwe, </w:t>
      </w:r>
      <w:r w:rsidR="00792772">
        <w:rPr>
          <w:color w:val="auto"/>
          <w:sz w:val="20"/>
          <w:lang w:val="pl-PL"/>
        </w:rPr>
        <w:t>aby</w:t>
      </w:r>
      <w:r w:rsidR="00BE1677" w:rsidRPr="00BE1677">
        <w:rPr>
          <w:color w:val="auto"/>
          <w:sz w:val="20"/>
          <w:lang w:val="pl-PL"/>
        </w:rPr>
        <w:t xml:space="preserve"> obywatel czy drobny przedsiębiorca zapoznał się z całą materią nowego prawa.</w:t>
      </w:r>
    </w:p>
    <w:p w:rsidR="00D8712F" w:rsidRPr="00BE1677" w:rsidRDefault="00BE1677" w:rsidP="00D8712F">
      <w:pPr>
        <w:pStyle w:val="Tekstpodstawowy"/>
        <w:spacing w:after="0" w:line="360" w:lineRule="auto"/>
        <w:rPr>
          <w:color w:val="auto"/>
          <w:sz w:val="20"/>
          <w:lang w:val="pl-PL"/>
        </w:rPr>
      </w:pPr>
      <w:r w:rsidRPr="00BE1677">
        <w:rPr>
          <w:rFonts w:eastAsia="Calibri" w:cstheme="minorHAnsi"/>
          <w:i/>
          <w:noProof/>
          <w:color w:val="auto"/>
          <w:sz w:val="20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ECB8C29" wp14:editId="01CCB93F">
            <wp:simplePos x="0" y="0"/>
            <wp:positionH relativeFrom="column">
              <wp:posOffset>-90170</wp:posOffset>
            </wp:positionH>
            <wp:positionV relativeFrom="paragraph">
              <wp:posOffset>91440</wp:posOffset>
            </wp:positionV>
            <wp:extent cx="660400" cy="615950"/>
            <wp:effectExtent l="0" t="0" r="635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D87" w:rsidRPr="00BE1677" w:rsidRDefault="00377D30" w:rsidP="00D8712F">
      <w:pPr>
        <w:pStyle w:val="Tekstpodstawowy"/>
        <w:spacing w:after="0" w:line="360" w:lineRule="auto"/>
        <w:rPr>
          <w:i/>
          <w:color w:val="auto"/>
          <w:sz w:val="20"/>
          <w:lang w:val="pl-PL"/>
        </w:rPr>
      </w:pPr>
      <w:r>
        <w:rPr>
          <w:i/>
          <w:color w:val="auto"/>
          <w:sz w:val="20"/>
          <w:lang w:val="pl-PL"/>
        </w:rPr>
        <w:t xml:space="preserve">Pamiętajmy, że produkcja prawa wróciła zaledwie do poziomu z 2008 r., czyli okresu wyjątkowo </w:t>
      </w:r>
      <w:r w:rsidR="00EE379D">
        <w:rPr>
          <w:i/>
          <w:color w:val="auto"/>
          <w:sz w:val="20"/>
          <w:lang w:val="pl-PL"/>
        </w:rPr>
        <w:t>intensywnego</w:t>
      </w:r>
      <w:r w:rsidR="000A7AC8">
        <w:rPr>
          <w:i/>
          <w:color w:val="auto"/>
          <w:sz w:val="20"/>
          <w:lang w:val="pl-PL"/>
        </w:rPr>
        <w:t xml:space="preserve"> pod względem zmienności prawa, kiedy to </w:t>
      </w:r>
      <w:r w:rsidR="00EE379D">
        <w:rPr>
          <w:i/>
          <w:color w:val="auto"/>
          <w:sz w:val="20"/>
          <w:lang w:val="pl-PL"/>
        </w:rPr>
        <w:t xml:space="preserve">Polska </w:t>
      </w:r>
      <w:r>
        <w:rPr>
          <w:i/>
          <w:color w:val="auto"/>
          <w:sz w:val="20"/>
          <w:lang w:val="pl-PL"/>
        </w:rPr>
        <w:t xml:space="preserve">dostosowywała swoje przepisy do prawodawstwa unijnego. Przyjmowano wówczas trzy-czterokrotnie więcej nowego prawa niż w połowie lat 90. </w:t>
      </w:r>
      <w:r w:rsidR="00EE379D">
        <w:rPr>
          <w:i/>
          <w:color w:val="auto"/>
          <w:sz w:val="20"/>
          <w:lang w:val="pl-PL"/>
        </w:rPr>
        <w:t xml:space="preserve">Fakt, że wróciliśmy </w:t>
      </w:r>
      <w:r w:rsidR="000A7AC8">
        <w:rPr>
          <w:i/>
          <w:color w:val="auto"/>
          <w:sz w:val="20"/>
          <w:lang w:val="pl-PL"/>
        </w:rPr>
        <w:t>do tamtych poziomów</w:t>
      </w:r>
      <w:r w:rsidR="00EE379D">
        <w:rPr>
          <w:i/>
          <w:color w:val="auto"/>
          <w:sz w:val="20"/>
          <w:lang w:val="pl-PL"/>
        </w:rPr>
        <w:t xml:space="preserve"> z pewnością nie należy uznać za dobry wynik – </w:t>
      </w:r>
      <w:r w:rsidR="00EE379D" w:rsidRPr="00792772">
        <w:rPr>
          <w:color w:val="auto"/>
          <w:sz w:val="20"/>
          <w:lang w:val="pl-PL"/>
        </w:rPr>
        <w:t xml:space="preserve">zaznacza </w:t>
      </w:r>
      <w:r w:rsidR="00EE379D" w:rsidRPr="00792772">
        <w:rPr>
          <w:b/>
          <w:color w:val="auto"/>
          <w:sz w:val="20"/>
          <w:lang w:val="pl-PL"/>
        </w:rPr>
        <w:t>Tomasz Wróblewski</w:t>
      </w:r>
      <w:r w:rsidR="00EE379D">
        <w:rPr>
          <w:i/>
          <w:color w:val="auto"/>
          <w:sz w:val="20"/>
          <w:lang w:val="pl-PL"/>
        </w:rPr>
        <w:t>.</w:t>
      </w:r>
      <w:r>
        <w:rPr>
          <w:i/>
          <w:color w:val="auto"/>
          <w:sz w:val="20"/>
          <w:lang w:val="pl-PL"/>
        </w:rPr>
        <w:t xml:space="preserve"> Oczy</w:t>
      </w:r>
      <w:r w:rsidR="00EE379D">
        <w:rPr>
          <w:i/>
          <w:color w:val="auto"/>
          <w:sz w:val="20"/>
          <w:lang w:val="pl-PL"/>
        </w:rPr>
        <w:t>wiście zdajemy sobie sprawę z tego</w:t>
      </w:r>
      <w:r w:rsidR="00C04FB3" w:rsidRPr="00BE1677">
        <w:rPr>
          <w:i/>
          <w:color w:val="auto"/>
          <w:sz w:val="20"/>
          <w:lang w:val="pl-PL"/>
        </w:rPr>
        <w:t>, że p</w:t>
      </w:r>
      <w:r w:rsidR="00566DFB" w:rsidRPr="00BE1677">
        <w:rPr>
          <w:i/>
          <w:color w:val="auto"/>
          <w:sz w:val="20"/>
          <w:lang w:val="pl-PL"/>
        </w:rPr>
        <w:t>rawo powinno</w:t>
      </w:r>
      <w:r w:rsidR="00CD0787" w:rsidRPr="00BE1677">
        <w:rPr>
          <w:i/>
          <w:color w:val="auto"/>
          <w:sz w:val="20"/>
          <w:lang w:val="pl-PL"/>
        </w:rPr>
        <w:t xml:space="preserve"> być zmieniane</w:t>
      </w:r>
      <w:r w:rsidR="00C04FB3" w:rsidRPr="00BE1677">
        <w:rPr>
          <w:i/>
          <w:color w:val="auto"/>
          <w:sz w:val="20"/>
          <w:lang w:val="pl-PL"/>
        </w:rPr>
        <w:t>,</w:t>
      </w:r>
      <w:r w:rsidR="00CD0787" w:rsidRPr="00BE1677">
        <w:rPr>
          <w:i/>
          <w:color w:val="auto"/>
          <w:sz w:val="20"/>
          <w:lang w:val="pl-PL"/>
        </w:rPr>
        <w:t xml:space="preserve"> </w:t>
      </w:r>
      <w:r w:rsidR="00566DFB" w:rsidRPr="00BE1677">
        <w:rPr>
          <w:i/>
          <w:color w:val="auto"/>
          <w:sz w:val="20"/>
          <w:lang w:val="pl-PL"/>
        </w:rPr>
        <w:t>aby</w:t>
      </w:r>
      <w:r w:rsidR="00CD0787" w:rsidRPr="00BE1677">
        <w:rPr>
          <w:i/>
          <w:color w:val="auto"/>
          <w:sz w:val="20"/>
          <w:lang w:val="pl-PL"/>
        </w:rPr>
        <w:t xml:space="preserve"> odpowiednio</w:t>
      </w:r>
      <w:r w:rsidR="00566DFB" w:rsidRPr="00BE1677">
        <w:rPr>
          <w:i/>
          <w:color w:val="auto"/>
          <w:sz w:val="20"/>
          <w:lang w:val="pl-PL"/>
        </w:rPr>
        <w:t xml:space="preserve"> </w:t>
      </w:r>
      <w:r w:rsidR="00785E49" w:rsidRPr="00BE1677">
        <w:rPr>
          <w:i/>
          <w:color w:val="auto"/>
          <w:sz w:val="20"/>
          <w:lang w:val="pl-PL"/>
        </w:rPr>
        <w:t xml:space="preserve">dostosować je do zmieniającej się </w:t>
      </w:r>
      <w:r w:rsidR="00EE379D">
        <w:rPr>
          <w:i/>
          <w:color w:val="auto"/>
          <w:sz w:val="20"/>
          <w:lang w:val="pl-PL"/>
        </w:rPr>
        <w:t>rzeczywistość</w:t>
      </w:r>
      <w:r w:rsidR="00C568CA" w:rsidRPr="00BE1677">
        <w:rPr>
          <w:i/>
          <w:color w:val="auto"/>
          <w:sz w:val="20"/>
          <w:lang w:val="pl-PL"/>
        </w:rPr>
        <w:t xml:space="preserve">. </w:t>
      </w:r>
      <w:r w:rsidR="00EE379D">
        <w:rPr>
          <w:i/>
          <w:color w:val="auto"/>
          <w:sz w:val="20"/>
          <w:lang w:val="pl-PL"/>
        </w:rPr>
        <w:t xml:space="preserve">Skala tych zmian jest jednak nadal </w:t>
      </w:r>
      <w:r w:rsidR="00792772">
        <w:rPr>
          <w:i/>
          <w:color w:val="auto"/>
          <w:sz w:val="20"/>
          <w:lang w:val="pl-PL"/>
        </w:rPr>
        <w:t xml:space="preserve">zdecydowanie </w:t>
      </w:r>
      <w:r w:rsidR="00EE379D">
        <w:rPr>
          <w:i/>
          <w:color w:val="auto"/>
          <w:sz w:val="20"/>
          <w:lang w:val="pl-PL"/>
        </w:rPr>
        <w:t xml:space="preserve">nadmierna </w:t>
      </w:r>
      <w:r w:rsidR="00EE379D">
        <w:rPr>
          <w:color w:val="auto"/>
          <w:sz w:val="20"/>
          <w:lang w:val="pl-PL"/>
        </w:rPr>
        <w:t>– dodaje</w:t>
      </w:r>
      <w:r w:rsidR="00BD000B" w:rsidRPr="00BE1677">
        <w:rPr>
          <w:i/>
          <w:color w:val="auto"/>
          <w:sz w:val="20"/>
          <w:lang w:val="pl-PL"/>
        </w:rPr>
        <w:t>.</w:t>
      </w:r>
      <w:r w:rsidR="00486D88" w:rsidRPr="00BE1677">
        <w:rPr>
          <w:i/>
          <w:color w:val="auto"/>
          <w:sz w:val="20"/>
          <w:lang w:val="pl-PL"/>
        </w:rPr>
        <w:t xml:space="preserve"> </w:t>
      </w:r>
    </w:p>
    <w:p w:rsidR="00D8712F" w:rsidRPr="00BE1677" w:rsidRDefault="00D8712F" w:rsidP="00D8712F">
      <w:pPr>
        <w:pStyle w:val="Tekstpodstawowy"/>
        <w:spacing w:after="0" w:line="360" w:lineRule="auto"/>
        <w:rPr>
          <w:color w:val="auto"/>
          <w:sz w:val="20"/>
          <w:lang w:val="pl-PL"/>
        </w:rPr>
      </w:pPr>
    </w:p>
    <w:p w:rsidR="00C04FB3" w:rsidRDefault="00C04FB3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8296D" w:rsidRPr="0048296D" w:rsidRDefault="0048296D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 w:rsidRPr="0048296D">
        <w:rPr>
          <w:rFonts w:eastAsia="Calibri" w:cstheme="minorHAnsi"/>
          <w:sz w:val="20"/>
          <w:lang w:val="pl-PL"/>
        </w:rPr>
        <w:t>Wyniki badań prowadzonych w ramach projektu „Barometr stabilności otoczeni</w:t>
      </w:r>
      <w:r w:rsidR="00792772">
        <w:rPr>
          <w:rFonts w:eastAsia="Calibri" w:cstheme="minorHAnsi"/>
          <w:sz w:val="20"/>
          <w:lang w:val="pl-PL"/>
        </w:rPr>
        <w:t>a prawnego w Polsce</w:t>
      </w:r>
      <w:r w:rsidRPr="0048296D">
        <w:rPr>
          <w:rFonts w:eastAsia="Calibri" w:cstheme="minorHAnsi"/>
          <w:sz w:val="20"/>
          <w:lang w:val="pl-PL"/>
        </w:rPr>
        <w:t xml:space="preserve">” na bieżąco, raz na kwartał, prezentowane są na stronie </w:t>
      </w:r>
      <w:hyperlink r:id="rId9" w:history="1">
        <w:r w:rsidRPr="0048296D">
          <w:rPr>
            <w:rStyle w:val="Hipercze"/>
            <w:rFonts w:eastAsia="Calibri" w:cstheme="minorHAnsi"/>
            <w:b/>
            <w:color w:val="7030A0"/>
            <w:sz w:val="20"/>
            <w:lang w:val="pl-PL"/>
          </w:rPr>
          <w:t>BarometrPrawa.pl</w:t>
        </w:r>
      </w:hyperlink>
      <w:r w:rsidRPr="0048296D">
        <w:rPr>
          <w:rFonts w:eastAsia="Calibri" w:cstheme="minorHAnsi"/>
          <w:color w:val="7030A0"/>
          <w:sz w:val="20"/>
          <w:lang w:val="pl-PL"/>
        </w:rPr>
        <w:t>.</w:t>
      </w:r>
      <w:r w:rsidRPr="0048296D">
        <w:rPr>
          <w:rFonts w:eastAsia="Calibri" w:cstheme="minorHAnsi"/>
          <w:sz w:val="20"/>
          <w:lang w:val="pl-PL"/>
        </w:rPr>
        <w:t xml:space="preserve"> Jest to swoisty monitoring </w:t>
      </w:r>
      <w:r w:rsidR="00792772">
        <w:rPr>
          <w:rFonts w:eastAsia="Calibri" w:cstheme="minorHAnsi"/>
          <w:sz w:val="20"/>
          <w:lang w:val="pl-PL"/>
        </w:rPr>
        <w:t>zmienności</w:t>
      </w:r>
      <w:r w:rsidRPr="0048296D">
        <w:rPr>
          <w:rFonts w:eastAsia="Calibri" w:cstheme="minorHAnsi"/>
          <w:sz w:val="20"/>
          <w:lang w:val="pl-PL"/>
        </w:rPr>
        <w:t xml:space="preserve"> polskiego systemu prawnego – inicjatywa społeczna podobna do licznika długu publicznego, stworzonego przez Leszka Balcerowicza. Omawiane są tam również najważniejsze z punktu widzenia pracodawców ostatnie zmiany w prawie. Zachęcamy do odwiedzania tej strony.</w:t>
      </w:r>
    </w:p>
    <w:p w:rsidR="000C4938" w:rsidRDefault="000C4938" w:rsidP="00D8712F">
      <w:pPr>
        <w:pStyle w:val="Tekstpodstawowy"/>
        <w:spacing w:after="100" w:afterAutospacing="1" w:line="360" w:lineRule="auto"/>
        <w:rPr>
          <w:sz w:val="20"/>
          <w:lang w:val="pl-PL"/>
        </w:rPr>
      </w:pPr>
    </w:p>
    <w:p w:rsidR="00CB7BF7" w:rsidRDefault="00CB7BF7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AE0450" w:rsidRDefault="000C4938" w:rsidP="00D8712F">
      <w:pPr>
        <w:pStyle w:val="Tekstpodstawowy"/>
        <w:spacing w:after="0" w:line="360" w:lineRule="auto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- koniec </w:t>
      </w:r>
      <w:r w:rsidR="00726ADE">
        <w:rPr>
          <w:sz w:val="20"/>
          <w:lang w:val="pl-PL"/>
        </w:rPr>
        <w:t>-</w:t>
      </w:r>
    </w:p>
    <w:p w:rsidR="00726ADE" w:rsidRDefault="00726ADE" w:rsidP="00726ADE">
      <w:pPr>
        <w:pStyle w:val="Tekstpodstawowy"/>
        <w:jc w:val="center"/>
        <w:rPr>
          <w:sz w:val="20"/>
          <w:lang w:val="pl-PL"/>
        </w:rPr>
      </w:pPr>
    </w:p>
    <w:p w:rsidR="00CB7BF7" w:rsidRPr="00726ADE" w:rsidRDefault="00CB7BF7" w:rsidP="00726ADE">
      <w:pPr>
        <w:pStyle w:val="Tekstpodstawowy"/>
        <w:jc w:val="center"/>
        <w:rPr>
          <w:sz w:val="20"/>
          <w:lang w:val="pl-PL"/>
        </w:rPr>
      </w:pPr>
    </w:p>
    <w:p w:rsidR="00B87565" w:rsidRPr="000C4938" w:rsidRDefault="00AE0450" w:rsidP="00B87565">
      <w:pPr>
        <w:pStyle w:val="Nagwek2"/>
        <w:rPr>
          <w:lang w:val="pl-PL"/>
        </w:rPr>
      </w:pPr>
      <w:r w:rsidRPr="000C4938">
        <w:rPr>
          <w:lang w:val="pl-PL"/>
        </w:rPr>
        <w:t>Zachęcamy do kontaktu</w:t>
      </w:r>
      <w:r w:rsidR="00B87565" w:rsidRPr="000C4938">
        <w:rPr>
          <w:lang w:val="pl-PL"/>
        </w:rPr>
        <w:t>:</w:t>
      </w:r>
    </w:p>
    <w:p w:rsidR="00B87565" w:rsidRPr="000C4938" w:rsidRDefault="00AE0450" w:rsidP="00B87565">
      <w:pPr>
        <w:rPr>
          <w:b/>
          <w:lang w:val="pl-PL"/>
        </w:rPr>
      </w:pPr>
      <w:r w:rsidRPr="000C4938">
        <w:rPr>
          <w:b/>
          <w:lang w:val="pl-PL"/>
        </w:rPr>
        <w:t>Jacek Kowalczyk</w:t>
      </w:r>
    </w:p>
    <w:p w:rsidR="00043B07" w:rsidRPr="008556C4" w:rsidRDefault="00043B07" w:rsidP="00B87565">
      <w:pPr>
        <w:rPr>
          <w:lang w:val="pl-PL"/>
        </w:rPr>
      </w:pPr>
      <w:r w:rsidRPr="008556C4">
        <w:rPr>
          <w:lang w:val="pl-PL"/>
        </w:rPr>
        <w:t>Dyrektor Marketingu i PR</w:t>
      </w:r>
    </w:p>
    <w:p w:rsidR="00AE0450" w:rsidRPr="008556C4" w:rsidRDefault="00AE0450" w:rsidP="00B87565">
      <w:pPr>
        <w:rPr>
          <w:lang w:val="pl-PL"/>
        </w:rPr>
      </w:pPr>
      <w:r w:rsidRPr="008556C4">
        <w:rPr>
          <w:lang w:val="pl-PL"/>
        </w:rPr>
        <w:t>Grant Thornton</w:t>
      </w:r>
    </w:p>
    <w:p w:rsidR="00B87565" w:rsidRPr="008556C4" w:rsidRDefault="00B87565" w:rsidP="00B87565">
      <w:pPr>
        <w:rPr>
          <w:b/>
          <w:lang w:val="pl-PL"/>
        </w:rPr>
      </w:pPr>
      <w:r w:rsidRPr="008556C4">
        <w:rPr>
          <w:b/>
          <w:lang w:val="pl-PL"/>
        </w:rPr>
        <w:t>T</w:t>
      </w:r>
      <w:r w:rsidR="00AE0450" w:rsidRPr="008556C4">
        <w:rPr>
          <w:b/>
          <w:lang w:val="pl-PL"/>
        </w:rPr>
        <w:t>:</w:t>
      </w:r>
      <w:r w:rsidRPr="008556C4">
        <w:rPr>
          <w:b/>
          <w:lang w:val="pl-PL"/>
        </w:rPr>
        <w:t xml:space="preserve"> </w:t>
      </w:r>
      <w:r w:rsidR="00AE0450" w:rsidRPr="008556C4">
        <w:rPr>
          <w:lang w:val="pl-PL"/>
        </w:rPr>
        <w:t>505 024 168, 22 205 48 41</w:t>
      </w:r>
    </w:p>
    <w:p w:rsidR="00AE0450" w:rsidRPr="008556C4" w:rsidRDefault="00AE0450" w:rsidP="00B55FA2">
      <w:pPr>
        <w:rPr>
          <w:b/>
          <w:lang w:val="pl-PL"/>
        </w:rPr>
      </w:pPr>
      <w:r w:rsidRPr="008556C4">
        <w:rPr>
          <w:b/>
          <w:lang w:val="pl-PL"/>
        </w:rPr>
        <w:t xml:space="preserve">E: </w:t>
      </w:r>
      <w:r w:rsidRPr="008556C4">
        <w:rPr>
          <w:lang w:val="pl-PL"/>
        </w:rPr>
        <w:t>jacek.kowalczyk@pl.gt.com</w:t>
      </w:r>
    </w:p>
    <w:p w:rsidR="00AE0450" w:rsidRPr="008556C4" w:rsidRDefault="00AE0450" w:rsidP="00B87565">
      <w:pPr>
        <w:pStyle w:val="Nagwek3"/>
        <w:rPr>
          <w:lang w:val="pl-PL"/>
        </w:rPr>
      </w:pPr>
    </w:p>
    <w:p w:rsidR="00B87565" w:rsidRPr="008556C4" w:rsidRDefault="000C4938" w:rsidP="00B87565">
      <w:pPr>
        <w:pStyle w:val="Nagwek4"/>
        <w:rPr>
          <w:b/>
          <w:lang w:val="pl-PL"/>
        </w:rPr>
      </w:pPr>
      <w:r w:rsidRPr="008556C4">
        <w:rPr>
          <w:b/>
          <w:lang w:val="pl-PL"/>
        </w:rPr>
        <w:t>O</w:t>
      </w:r>
      <w:r w:rsidR="00844810" w:rsidRPr="008556C4">
        <w:rPr>
          <w:b/>
          <w:lang w:val="pl-PL"/>
        </w:rPr>
        <w:t xml:space="preserve"> Grant Thornton</w:t>
      </w:r>
    </w:p>
    <w:p w:rsidR="000C4938" w:rsidRPr="000C4938" w:rsidRDefault="000C4938" w:rsidP="000C4938">
      <w:pPr>
        <w:pStyle w:val="Tekstpodstawowy"/>
        <w:rPr>
          <w:lang w:val="pl-PL"/>
        </w:rPr>
      </w:pPr>
      <w:r w:rsidRPr="000C4938">
        <w:rPr>
          <w:b/>
          <w:lang w:val="pl-PL"/>
        </w:rPr>
        <w:t>Grant Thornton</w:t>
      </w:r>
      <w:r w:rsidRPr="000C4938">
        <w:rPr>
          <w:lang w:val="pl-PL"/>
        </w:rPr>
        <w:t xml:space="preserve"> to jedna z wiodących organizacji audytorsko-doradczych na świecie. Wiedza, doświad</w:t>
      </w:r>
      <w:r w:rsidR="00792772">
        <w:rPr>
          <w:lang w:val="pl-PL"/>
        </w:rPr>
        <w:t>czenie i zaangażowanie ponad 3 6</w:t>
      </w:r>
      <w:r w:rsidRPr="000C4938">
        <w:rPr>
          <w:lang w:val="pl-PL"/>
        </w:rPr>
        <w:t xml:space="preserve">00 partnerów oraz 42 000 pracowników Grant Thornton dostępne są dla klientów w ponad 130 </w:t>
      </w:r>
      <w:r w:rsidR="0071541C">
        <w:rPr>
          <w:lang w:val="pl-PL"/>
        </w:rPr>
        <w:t>krajach. W Polsce działamy od 25 lat, a 550</w:t>
      </w:r>
      <w:r w:rsidRPr="000C4938">
        <w:rPr>
          <w:lang w:val="pl-PL"/>
        </w:rPr>
        <w:t xml:space="preserve"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1000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0" w:history="1">
        <w:r w:rsidRPr="000C4938">
          <w:rPr>
            <w:rStyle w:val="Hipercze"/>
            <w:lang w:val="pl-PL"/>
          </w:rPr>
          <w:t>www.grantthornton.pl</w:t>
        </w:r>
      </w:hyperlink>
      <w:r w:rsidRPr="000C4938">
        <w:rPr>
          <w:lang w:val="pl-PL"/>
        </w:rPr>
        <w:t xml:space="preserve"> </w:t>
      </w:r>
    </w:p>
    <w:p w:rsidR="000C4938" w:rsidRPr="000C4938" w:rsidRDefault="000C4938" w:rsidP="000C4938">
      <w:pPr>
        <w:pStyle w:val="Tekstpodstawowy"/>
        <w:rPr>
          <w:u w:val="single"/>
          <w:lang w:val="pl-PL"/>
        </w:rPr>
      </w:pPr>
      <w:r w:rsidRPr="000C4938">
        <w:rPr>
          <w:b/>
          <w:lang w:val="pl-PL"/>
        </w:rPr>
        <w:t>Grant Thornton International Ltd</w:t>
      </w:r>
      <w:r w:rsidRPr="000C4938">
        <w:rPr>
          <w:lang w:val="pl-PL"/>
        </w:rPr>
        <w:t xml:space="preserve">. (GTI) jest jedną z wiodących światowych organizacji, zrzeszającą firmy księgowe i doradcze, oferujące usługi poświadczające, doradztwa podatkowego, a także udzielające specjalistycznych porad dla przedsiębiorców prywatnych i jednostek interesu publicznego. Więcej informacji na </w:t>
      </w:r>
      <w:hyperlink r:id="rId11" w:history="1">
        <w:r w:rsidRPr="000C4938">
          <w:rPr>
            <w:rStyle w:val="Hipercze"/>
            <w:lang w:val="pl-PL"/>
          </w:rPr>
          <w:t>www.gti.org</w:t>
        </w:r>
      </w:hyperlink>
    </w:p>
    <w:p w:rsidR="00C0271B" w:rsidRPr="00746775" w:rsidRDefault="00C0271B" w:rsidP="00302988">
      <w:pPr>
        <w:pStyle w:val="Tekstpodstawowy"/>
      </w:pPr>
    </w:p>
    <w:sectPr w:rsidR="00C0271B" w:rsidRPr="00746775" w:rsidSect="000C493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6" w:right="913" w:bottom="913" w:left="91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59" w:rsidRDefault="00730D59">
      <w:r>
        <w:separator/>
      </w:r>
    </w:p>
  </w:endnote>
  <w:endnote w:type="continuationSeparator" w:id="0">
    <w:p w:rsidR="00730D59" w:rsidRDefault="007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B4" w:rsidRPr="00A211E0" w:rsidRDefault="00A211E0" w:rsidP="00695784">
    <w:pPr>
      <w:pStyle w:val="Stopka"/>
      <w:tabs>
        <w:tab w:val="clear" w:pos="8636"/>
        <w:tab w:val="right" w:pos="10415"/>
      </w:tabs>
      <w:rPr>
        <w:rFonts w:ascii="Arial" w:hAnsi="Arial"/>
        <w:sz w:val="13"/>
      </w:rPr>
    </w:pPr>
    <w:r>
      <w:t xml:space="preserve">© </w:t>
    </w:r>
    <w:r>
      <w:fldChar w:fldCharType="begin"/>
    </w:r>
    <w:r>
      <w:instrText xml:space="preserve"> createdate \@"yyyy" </w:instrText>
    </w:r>
    <w:r>
      <w:fldChar w:fldCharType="separate"/>
    </w:r>
    <w:r w:rsidR="007F3C0B">
      <w:rPr>
        <w:noProof/>
      </w:rPr>
      <w:t>2017</w:t>
    </w:r>
    <w:r>
      <w:fldChar w:fldCharType="end"/>
    </w:r>
    <w:r w:rsidR="00E14F28">
      <w:t xml:space="preserve"> </w:t>
    </w:r>
    <w:r w:rsidR="00E14F28" w:rsidRPr="00E14F28">
      <w:t>Grant Thornton International Ltd.</w:t>
    </w:r>
    <w:r>
      <w:t xml:space="preserve">  All rights reserved.</w:t>
    </w:r>
    <w:r w:rsidR="000806B4" w:rsidRPr="00D01381">
      <w:rPr>
        <w:rStyle w:val="Numerstrony"/>
      </w:rPr>
      <w:fldChar w:fldCharType="begin"/>
    </w:r>
    <w:r w:rsidR="000806B4" w:rsidRPr="00D01381">
      <w:rPr>
        <w:rStyle w:val="Numerstrony"/>
      </w:rPr>
      <w:instrText xml:space="preserve"> PAGE   \* MERGEFORMAT </w:instrText>
    </w:r>
    <w:r w:rsidR="000806B4" w:rsidRPr="00D01381">
      <w:rPr>
        <w:rStyle w:val="Numerstrony"/>
      </w:rPr>
      <w:fldChar w:fldCharType="separate"/>
    </w:r>
    <w:r w:rsidR="009741B6">
      <w:rPr>
        <w:rStyle w:val="Numerstrony"/>
        <w:noProof/>
      </w:rPr>
      <w:t>2</w:t>
    </w:r>
    <w:r w:rsidR="000806B4" w:rsidRPr="00D01381">
      <w:rPr>
        <w:rStyle w:val="Numerstrony"/>
      </w:rPr>
      <w:fldChar w:fldCharType="end"/>
    </w:r>
    <w:r w:rsidR="00D0138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6533EA" wp14:editId="7B855692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5084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5CB93DF9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55pt,-5.65pt" to="186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391QEAABEEAAAOAAAAZHJzL2Uyb0RvYy54bWysU8tu2zAQvBfoPxC815KDpnAFyzk4SC9F&#10;azTNBzDU0iLAF5asJf99l5SsBH0BDXKhRHJndmd2ub0ZrWEnwKi9a/l6VXMGTvpOu2PLH77fvdtw&#10;FpNwnTDeQcvPEPnN7u2b7RAauPK9Nx0gIxIXmyG0vE8pNFUVZQ9WxJUP4OhSebQi0RaPVYdiIHZr&#10;qqu6/lANHruAXkKMdHo7XfJd4VcKZPqqVITETMuptlRWLOtjXqvdVjRHFKHXci5DvKAKK7SjpAvV&#10;rUiC/UD9G5XVEn30Kq2kt5VXSksoGkjNuv5FzX0vAhQtZE4Mi03x9Wjll9MBme5aTo1ywlKL7hMK&#10;fewT23vnyECPbJN9GkJsKHzvDjjvYjhgFj0qtPlLcthYvD0v3sKYmKTD9XW9eV9TC+TlrnoCBozp&#10;E3jL8k/LjXZZtmjE6XNMlIxCLyH52Dg2EOPH+rouYdEb3d1pY/JlGR3YG2QnQU0XUoJL6yyAWJ5F&#10;0s44OsyyJiHlL50NTDm+gSJjculTkjySf+M1jqIzTFEVC3Cu7l/AOT5DoYzr/4AXRMnsXVrAVjuP&#10;fyo7jRcr1BR/cWDSnS149N25tLhYQ3NXnJvfSB7s5/sCf3rJu58AAAD//wMAUEsDBBQABgAIAAAA&#10;IQA1B6Rw2gAAAAgBAAAPAAAAZHJzL2Rvd25yZXYueG1sTI/BTsMwEETvSP0Haytxa500UCDEqaoK&#10;JK4pHDhu48WJiNeR7abh7zESEhxnZzXzptrNdhAT+dA7VpCvMxDErdM9GwVvr8+rexAhImscHJOC&#10;LwqwqxdXFZbaXbih6RiNSCEcSlTQxTiWUoa2I4th7Ubi5H04bzEm6Y3UHi8p3A5yk2VbabHn1NDh&#10;SIeO2s/j2SpobnwTRnTTk2sMvk8v+GCKrVLXy3n/CCLSHP+e4Qc/oUOdmE7uzDqIQUEaEhWs8rwA&#10;kexNcXcL4vR7kXUl/w+ovwEAAP//AwBQSwECLQAUAAYACAAAACEAtoM4kv4AAADhAQAAEwAAAAAA&#10;AAAAAAAAAAAAAAAAW0NvbnRlbnRfVHlwZXNdLnhtbFBLAQItABQABgAIAAAAIQA4/SH/1gAAAJQB&#10;AAALAAAAAAAAAAAAAAAAAC8BAABfcmVscy8ucmVsc1BLAQItABQABgAIAAAAIQDRxw391QEAABEE&#10;AAAOAAAAAAAAAAAAAAAAAC4CAABkcnMvZTJvRG9jLnhtbFBLAQItABQABgAIAAAAIQA1B6Rw2gAA&#10;AAgBAAAPAAAAAAAAAAAAAAAAAC8EAABkcnMvZG93bnJldi54bWxQSwUGAAAAAAQABADzAAAANgUA&#10;AAAA&#10;" strokecolor="#4f2d7f [3204]" strokeweight="1.5pt">
              <w10:wrap anchorx="margin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B4" w:rsidRPr="00695784" w:rsidRDefault="00695784" w:rsidP="00695784">
    <w:pPr>
      <w:pStyle w:val="Stopka"/>
      <w:rPr>
        <w:rFonts w:ascii="Arial" w:hAnsi="Arial"/>
        <w:sz w:val="13"/>
      </w:rPr>
    </w:pPr>
    <w:r>
      <w:t xml:space="preserve">© </w:t>
    </w:r>
    <w:r>
      <w:fldChar w:fldCharType="begin"/>
    </w:r>
    <w:r>
      <w:instrText xml:space="preserve"> createdate \@"yyyy" </w:instrText>
    </w:r>
    <w:r>
      <w:fldChar w:fldCharType="separate"/>
    </w:r>
    <w:r w:rsidR="007F3C0B">
      <w:rPr>
        <w:noProof/>
      </w:rPr>
      <w:t>2017</w:t>
    </w:r>
    <w:r>
      <w:fldChar w:fldCharType="end"/>
    </w:r>
    <w:r w:rsidR="00E14F28">
      <w:t xml:space="preserve"> </w:t>
    </w:r>
    <w:r w:rsidR="00E14F28" w:rsidRPr="00E14F28">
      <w:t>Grant Thornton International Ltd.</w:t>
    </w:r>
    <w:r>
      <w:t xml:space="preserve">  All rights reserved.</w:t>
    </w:r>
    <w:r w:rsidR="00D01381" w:rsidRPr="00D01381">
      <w:rPr>
        <w:noProof/>
        <w:lang w:eastAsia="en-GB"/>
      </w:rPr>
      <w:t xml:space="preserve"> </w:t>
    </w:r>
    <w:r w:rsidR="00D0138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7D04B6E" wp14:editId="7CEA7554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5084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512FAB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55pt,-5.65pt" to="186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xc1gEAABEEAAAOAAAAZHJzL2Uyb0RvYy54bWysU01v3CAQvVfqf0Dcu/aumiq11pvDRuml&#10;aldN8wMIhjUSMGiga++/74C9TtQvqVEu2APz3sx7DNub0Vl2UhgN+JavVzVnykvojD+2/OH73btr&#10;zmISvhMWvGr5WUV+s3v7ZjuERm2gB9spZETiYzOElvcphaaqouyVE3EFQXk61IBOJArxWHUoBmJ3&#10;ttrU9YdqAOwCglQx0u7tdMh3hV9rJdNXraNKzLacektlxbI+5rXabUVzRBF6I+c2xAu6cMJ4KrpQ&#10;3Yok2A80v1E5IxEi6LSS4CrQ2khVNJCadf2LmvteBFW0kDkxLDbF16OVX04HZKZr+YYzLxxd0X1C&#10;YY59YnvwngwEZJvs0xBiQ+l7f8A5iuGAWfSo0eUvyWFj8fa8eKvGxCRtrq/q6/c1XYG8nFVPwIAx&#10;fVLgWP5puTU+yxaNOH2OiYpR6iUlb1vPBmL8WF/VJS2CNd2dsTYfltFRe4vsJOjShZTKp3UWQCzP&#10;MimynjazrElI+Utnq6Ya35QmY3LrU5E8kn/jtZ6yM0xTFwtw7u5fwDk/Q1UZ1/8BL4hSGXxawM54&#10;wD+1ncaLFXrKvzgw6c4WPEJ3LldcrKG5K87NbyQP9vO4wJ9e8u4nAAAA//8DAFBLAwQUAAYACAAA&#10;ACEANQekcNoAAAAIAQAADwAAAGRycy9kb3ducmV2LnhtbEyPwU7DMBBE70j9B2srcWudNFAgxKmq&#10;CiSuKRw4buPFiYjXke2m4e8xEhIcZ2c186bazXYQE/nQO1aQrzMQxK3TPRsFb6/Pq3sQISJrHByT&#10;gi8KsKsXVxWW2l24oekYjUghHEpU0MU4llKGtiOLYe1G4uR9OG8xJumN1B4vKdwOcpNlW2mx59TQ&#10;4UiHjtrP49kqaG58E0Z005NrDL5PL/hgiq1S18t5/wgi0hz/nuEHP6FDnZhO7sw6iEFBGhIVrPK8&#10;AJHsTXF3C+L0e5F1Jf8PqL8BAAD//wMAUEsBAi0AFAAGAAgAAAAhALaDOJL+AAAA4QEAABMAAAAA&#10;AAAAAAAAAAAAAAAAAFtDb250ZW50X1R5cGVzXS54bWxQSwECLQAUAAYACAAAACEAOP0h/9YAAACU&#10;AQAACwAAAAAAAAAAAAAAAAAvAQAAX3JlbHMvLnJlbHNQSwECLQAUAAYACAAAACEACwn8XNYBAAAR&#10;BAAADgAAAAAAAAAAAAAAAAAuAgAAZHJzL2Uyb0RvYy54bWxQSwECLQAUAAYACAAAACEANQekcNoA&#10;AAAIAQAADwAAAAAAAAAAAAAAAAAwBAAAZHJzL2Rvd25yZXYueG1sUEsFBgAAAAAEAAQA8wAAADcF&#10;AAAAAA==&#10;" strokecolor="#4f2d7f [3204]" strokeweight="1.5pt">
              <w10:wrap anchorx="marg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59" w:rsidRDefault="00730D59">
      <w:bookmarkStart w:id="0" w:name="_Hlk482343305"/>
      <w:bookmarkEnd w:id="0"/>
      <w:r>
        <w:separator/>
      </w:r>
    </w:p>
  </w:footnote>
  <w:footnote w:type="continuationSeparator" w:id="0">
    <w:p w:rsidR="00730D59" w:rsidRDefault="0073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10" w:rsidRDefault="00142F32" w:rsidP="000806B4">
    <w:pPr>
      <w:pStyle w:val="Nagwek"/>
      <w:tabs>
        <w:tab w:val="clear" w:pos="8562"/>
        <w:tab w:val="right" w:pos="10348"/>
      </w:tabs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4258310</wp:posOffset>
          </wp:positionH>
          <wp:positionV relativeFrom="paragraph">
            <wp:posOffset>114300</wp:posOffset>
          </wp:positionV>
          <wp:extent cx="2040890" cy="10414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omet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285750</wp:posOffset>
          </wp:positionV>
          <wp:extent cx="2035810" cy="627380"/>
          <wp:effectExtent l="0" t="0" r="2540" b="1270"/>
          <wp:wrapNone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81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953135"/>
              <wp:effectExtent l="0" t="0" r="17780" b="1841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E0" w:firstRow="1" w:lastRow="1" w:firstColumn="1" w:lastColumn="0" w:noHBand="0" w:noVBand="1"/>
                          </w:tblPr>
                          <w:tblGrid>
                            <w:gridCol w:w="6117"/>
                          </w:tblGrid>
                          <w:tr w:rsidR="002A346F" w:rsidTr="00AE0450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1D0268" w:rsidP="004F5624">
                                <w:pPr>
                                  <w:spacing w:before="38"/>
                                  <w:ind w:left="43"/>
                                </w:pPr>
                                <w:bookmarkStart w:id="2" w:name="Cover_tbl"/>
                                <w:r>
                                  <w:rPr>
                                    <w:noProof/>
                                    <w:lang w:val="pl-PL" w:eastAsia="pl-PL"/>
                                  </w:rPr>
                                  <w:drawing>
                                    <wp:inline distT="0" distB="0" distL="0" distR="0">
                                      <wp:extent cx="2036068" cy="627889"/>
                                      <wp:effectExtent l="0" t="0" r="2540" b="1270"/>
                                      <wp:docPr id="6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GT_Logo_METRIC_2017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6068" cy="627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2"/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7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NrrQIAAKk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YYCdpCix7YYNCtHNDCVqfvdAJO9x24mQG2ocsuU93dyeKbRkJuair27EYp2deMlsAutDf9J1dH&#10;HG1Bdv1HWUIYejDSAQ2Vam3poBgI0KFLj+fOWCoFbM6jaEVWcFTAWbyYh3NHzqfJdLtT2rxnskXW&#10;SLGCzjt0erzTxrKhyeRigwmZ86Zx3W/Esw1wHHcgNly1Z5aFa+bPOIi30TYiHpkttx4Jssy7yTfE&#10;W+bhapHNs80mC3/ZuCFJal6WTNgwk7BC8meNO0l8lMRZWlo2vLRwlpJW+92mUehIQdi5+1zN4eTi&#10;5j+n4YoAubxIKZyR4HYWe/kyWnkkJwsvXgWRF4TxbbwMSEyy/HlKd1ywf08J9baTs8UopgvpF7kF&#10;7nudG01abmB0NLxNcXR2oomV4FaUrrWG8ma0n5TC0r+UAto9NdoJ1mp0VKsZdgOgWBXvZPkI0lUS&#10;lAUihHkHRi3VD4x6mB0p1t8PVDGMmg8C5G8HzWSoydhNBhUFXE2xwWg0N2YcSIdO8X0NyOMDE/IG&#10;nkjFnXovLE4PC+aBS+I0u+zAefrvvC4Tdv0bAAD//wMAUEsDBBQABgAIAAAAIQANH7Mz3AAAAAkB&#10;AAAPAAAAZHJzL2Rvd25yZXYueG1sTI/BTsMwEETvSPyDtUjcWgeQrCbEqSoEJyREGg4cnXibWI3X&#10;IXbb8PcsJzjuzGj2Tbld/CjOOEcXSMPdOgOB1AXrqNfw0bysNiBiMmTNGAg1fGOEbXV9VZrChgvV&#10;eN6nXnAJxcJoGFKaCiljN6A3cR0mJPYOYfYm8Tn30s7mwuV+lPdZpqQ3jvjDYCZ8GrA77k9ew+6T&#10;6mf39da+14faNU2e0as6an17s+weQSRc0l8YfvEZHSpmasOJbBSjhtWD4iTrOS9gX2UbFloWVJ6D&#10;rEr5f0H1AwAA//8DAFBLAQItABQABgAIAAAAIQC2gziS/gAAAOEBAAATAAAAAAAAAAAAAAAAAAAA&#10;AABbQ29udGVudF9UeXBlc10ueG1sUEsBAi0AFAAGAAgAAAAhADj9If/WAAAAlAEAAAsAAAAAAAAA&#10;AAAAAAAALwEAAF9yZWxzLy5yZWxzUEsBAi0AFAAGAAgAAAAhAN+Os2utAgAAqQUAAA4AAAAAAAAA&#10;AAAAAAAALgIAAGRycy9lMm9Eb2MueG1sUEsBAi0AFAAGAAgAAAAhAA0fszPcAAAACQEAAA8AAAAA&#10;AAAAAAAAAAAABwUAAGRycy9kb3ducmV2LnhtbFBLBQYAAAAABAAEAPMAAAAQBgAAAAA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E0" w:firstRow="1" w:lastRow="1" w:firstColumn="1" w:lastColumn="0" w:noHBand="0" w:noVBand="1"/>
                    </w:tblPr>
                    <w:tblGrid>
                      <w:gridCol w:w="6117"/>
                    </w:tblGrid>
                    <w:tr w:rsidR="002A346F" w:rsidTr="00AE0450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1D0268" w:rsidP="004F5624">
                          <w:pPr>
                            <w:spacing w:before="38"/>
                            <w:ind w:left="43"/>
                          </w:pPr>
                          <w:bookmarkStart w:id="10" w:name="Cover_tbl"/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36068" cy="627889"/>
                                <wp:effectExtent l="0" t="0" r="2540" b="1270"/>
                                <wp:docPr id="6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T_Logo_METRIC_2017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6068" cy="6278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0"/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</w:p>
  <w:p w:rsidR="002A346F" w:rsidRPr="009D3931" w:rsidRDefault="002A346F" w:rsidP="002A346F">
    <w:pPr>
      <w:pStyle w:val="Nagwek"/>
    </w:pP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7F3C0B"/>
    <w:rsid w:val="00022E9E"/>
    <w:rsid w:val="000302CB"/>
    <w:rsid w:val="00043B07"/>
    <w:rsid w:val="00043CEE"/>
    <w:rsid w:val="000701DD"/>
    <w:rsid w:val="00070700"/>
    <w:rsid w:val="00075731"/>
    <w:rsid w:val="000806B4"/>
    <w:rsid w:val="00080BC4"/>
    <w:rsid w:val="000A4BAF"/>
    <w:rsid w:val="000A68FB"/>
    <w:rsid w:val="000A7AC8"/>
    <w:rsid w:val="000B057D"/>
    <w:rsid w:val="000B0ED9"/>
    <w:rsid w:val="000B475C"/>
    <w:rsid w:val="000C1BD5"/>
    <w:rsid w:val="000C4938"/>
    <w:rsid w:val="000D06D5"/>
    <w:rsid w:val="000D16D9"/>
    <w:rsid w:val="000D618C"/>
    <w:rsid w:val="000E05DA"/>
    <w:rsid w:val="000E7B26"/>
    <w:rsid w:val="000F4735"/>
    <w:rsid w:val="00111187"/>
    <w:rsid w:val="00115AC3"/>
    <w:rsid w:val="001237E5"/>
    <w:rsid w:val="00125D84"/>
    <w:rsid w:val="001260ED"/>
    <w:rsid w:val="00136673"/>
    <w:rsid w:val="00142F32"/>
    <w:rsid w:val="00147730"/>
    <w:rsid w:val="00150A84"/>
    <w:rsid w:val="00157D72"/>
    <w:rsid w:val="001611CC"/>
    <w:rsid w:val="00170523"/>
    <w:rsid w:val="001878B4"/>
    <w:rsid w:val="001A6EA7"/>
    <w:rsid w:val="001B3754"/>
    <w:rsid w:val="001B475A"/>
    <w:rsid w:val="001B565D"/>
    <w:rsid w:val="001D0268"/>
    <w:rsid w:val="001D1A4F"/>
    <w:rsid w:val="001D4ECE"/>
    <w:rsid w:val="001E511F"/>
    <w:rsid w:val="001F640F"/>
    <w:rsid w:val="00214BDC"/>
    <w:rsid w:val="00215284"/>
    <w:rsid w:val="00217CF3"/>
    <w:rsid w:val="0023771B"/>
    <w:rsid w:val="00253326"/>
    <w:rsid w:val="00256DE5"/>
    <w:rsid w:val="00277011"/>
    <w:rsid w:val="00277D6E"/>
    <w:rsid w:val="00284CBE"/>
    <w:rsid w:val="00285A51"/>
    <w:rsid w:val="002860E1"/>
    <w:rsid w:val="002A2778"/>
    <w:rsid w:val="002A346F"/>
    <w:rsid w:val="002B2BEF"/>
    <w:rsid w:val="002B57EC"/>
    <w:rsid w:val="002C366F"/>
    <w:rsid w:val="002C5EBF"/>
    <w:rsid w:val="002D2F38"/>
    <w:rsid w:val="002D6C36"/>
    <w:rsid w:val="002E6DE5"/>
    <w:rsid w:val="00302988"/>
    <w:rsid w:val="00315093"/>
    <w:rsid w:val="00320D93"/>
    <w:rsid w:val="00324235"/>
    <w:rsid w:val="003257A9"/>
    <w:rsid w:val="00327CD1"/>
    <w:rsid w:val="00346845"/>
    <w:rsid w:val="00361CB6"/>
    <w:rsid w:val="00367A05"/>
    <w:rsid w:val="00377BC2"/>
    <w:rsid w:val="00377D30"/>
    <w:rsid w:val="00381B5F"/>
    <w:rsid w:val="00387218"/>
    <w:rsid w:val="00393F03"/>
    <w:rsid w:val="003D5290"/>
    <w:rsid w:val="00406F63"/>
    <w:rsid w:val="00413761"/>
    <w:rsid w:val="004160F1"/>
    <w:rsid w:val="00416571"/>
    <w:rsid w:val="00421866"/>
    <w:rsid w:val="004478E4"/>
    <w:rsid w:val="00452223"/>
    <w:rsid w:val="00454B89"/>
    <w:rsid w:val="00454EE9"/>
    <w:rsid w:val="00460B37"/>
    <w:rsid w:val="0048296D"/>
    <w:rsid w:val="004839D9"/>
    <w:rsid w:val="00486D88"/>
    <w:rsid w:val="004A3A67"/>
    <w:rsid w:val="004A4534"/>
    <w:rsid w:val="004C2F65"/>
    <w:rsid w:val="004C3BDF"/>
    <w:rsid w:val="004E55EF"/>
    <w:rsid w:val="004F55CE"/>
    <w:rsid w:val="00503485"/>
    <w:rsid w:val="005200B4"/>
    <w:rsid w:val="005220CB"/>
    <w:rsid w:val="00556308"/>
    <w:rsid w:val="00565EE2"/>
    <w:rsid w:val="00566DFB"/>
    <w:rsid w:val="005713AD"/>
    <w:rsid w:val="005A2D44"/>
    <w:rsid w:val="005A5CEC"/>
    <w:rsid w:val="005A7B1F"/>
    <w:rsid w:val="005B105D"/>
    <w:rsid w:val="005C01A8"/>
    <w:rsid w:val="005E278A"/>
    <w:rsid w:val="005E4EF5"/>
    <w:rsid w:val="005F575C"/>
    <w:rsid w:val="005F753E"/>
    <w:rsid w:val="005F7CD0"/>
    <w:rsid w:val="00610ED7"/>
    <w:rsid w:val="0062048C"/>
    <w:rsid w:val="00621FC6"/>
    <w:rsid w:val="00625597"/>
    <w:rsid w:val="00635CE5"/>
    <w:rsid w:val="00642404"/>
    <w:rsid w:val="00645F35"/>
    <w:rsid w:val="00654DC1"/>
    <w:rsid w:val="006661DB"/>
    <w:rsid w:val="00686BF8"/>
    <w:rsid w:val="00695784"/>
    <w:rsid w:val="006A72A4"/>
    <w:rsid w:val="006D75F0"/>
    <w:rsid w:val="006E58E5"/>
    <w:rsid w:val="006F016B"/>
    <w:rsid w:val="00703716"/>
    <w:rsid w:val="00710BA8"/>
    <w:rsid w:val="0071541C"/>
    <w:rsid w:val="00726ADE"/>
    <w:rsid w:val="0072791F"/>
    <w:rsid w:val="00730D59"/>
    <w:rsid w:val="0073386D"/>
    <w:rsid w:val="00746775"/>
    <w:rsid w:val="00753038"/>
    <w:rsid w:val="007578FC"/>
    <w:rsid w:val="00760EC0"/>
    <w:rsid w:val="007618B5"/>
    <w:rsid w:val="00771DEC"/>
    <w:rsid w:val="007769A1"/>
    <w:rsid w:val="00784FF6"/>
    <w:rsid w:val="007856A9"/>
    <w:rsid w:val="00785E49"/>
    <w:rsid w:val="00792772"/>
    <w:rsid w:val="007A294A"/>
    <w:rsid w:val="007B27A6"/>
    <w:rsid w:val="007B4C13"/>
    <w:rsid w:val="007C0D35"/>
    <w:rsid w:val="007D2ED2"/>
    <w:rsid w:val="007D6C93"/>
    <w:rsid w:val="007E66D0"/>
    <w:rsid w:val="007F3C0B"/>
    <w:rsid w:val="00812F8E"/>
    <w:rsid w:val="00813F04"/>
    <w:rsid w:val="00814D12"/>
    <w:rsid w:val="00814DDF"/>
    <w:rsid w:val="00815F24"/>
    <w:rsid w:val="00844810"/>
    <w:rsid w:val="00851A1A"/>
    <w:rsid w:val="008556C4"/>
    <w:rsid w:val="008600CC"/>
    <w:rsid w:val="00866AAB"/>
    <w:rsid w:val="00867DA5"/>
    <w:rsid w:val="008804A2"/>
    <w:rsid w:val="008C209A"/>
    <w:rsid w:val="008D1054"/>
    <w:rsid w:val="008D455E"/>
    <w:rsid w:val="008D74D6"/>
    <w:rsid w:val="008F6165"/>
    <w:rsid w:val="009060D1"/>
    <w:rsid w:val="009212C4"/>
    <w:rsid w:val="009261A6"/>
    <w:rsid w:val="00932AD9"/>
    <w:rsid w:val="009426E2"/>
    <w:rsid w:val="00951459"/>
    <w:rsid w:val="009607A2"/>
    <w:rsid w:val="00963742"/>
    <w:rsid w:val="0096530C"/>
    <w:rsid w:val="00965F67"/>
    <w:rsid w:val="00966C88"/>
    <w:rsid w:val="009741B6"/>
    <w:rsid w:val="009816B3"/>
    <w:rsid w:val="00981E97"/>
    <w:rsid w:val="0098693F"/>
    <w:rsid w:val="00987602"/>
    <w:rsid w:val="009A6E18"/>
    <w:rsid w:val="009C2067"/>
    <w:rsid w:val="009C283F"/>
    <w:rsid w:val="009C3CB0"/>
    <w:rsid w:val="009C6571"/>
    <w:rsid w:val="009D6F6C"/>
    <w:rsid w:val="009E6EF3"/>
    <w:rsid w:val="009E7B56"/>
    <w:rsid w:val="009F497C"/>
    <w:rsid w:val="00A01F63"/>
    <w:rsid w:val="00A17BF8"/>
    <w:rsid w:val="00A211E0"/>
    <w:rsid w:val="00A50B72"/>
    <w:rsid w:val="00A64061"/>
    <w:rsid w:val="00A84CA5"/>
    <w:rsid w:val="00A86935"/>
    <w:rsid w:val="00A90C1B"/>
    <w:rsid w:val="00A924C3"/>
    <w:rsid w:val="00A9542E"/>
    <w:rsid w:val="00A96A76"/>
    <w:rsid w:val="00AA4DA3"/>
    <w:rsid w:val="00AB55E5"/>
    <w:rsid w:val="00AB5EEF"/>
    <w:rsid w:val="00AC3EC8"/>
    <w:rsid w:val="00AC6748"/>
    <w:rsid w:val="00AD053A"/>
    <w:rsid w:val="00AD14A0"/>
    <w:rsid w:val="00AD7D97"/>
    <w:rsid w:val="00AE0450"/>
    <w:rsid w:val="00AE344E"/>
    <w:rsid w:val="00AE48E5"/>
    <w:rsid w:val="00AF415D"/>
    <w:rsid w:val="00B035A1"/>
    <w:rsid w:val="00B158C4"/>
    <w:rsid w:val="00B23987"/>
    <w:rsid w:val="00B33EA0"/>
    <w:rsid w:val="00B35DE8"/>
    <w:rsid w:val="00B4319E"/>
    <w:rsid w:val="00B44D7D"/>
    <w:rsid w:val="00B54C3E"/>
    <w:rsid w:val="00B55FA2"/>
    <w:rsid w:val="00B63757"/>
    <w:rsid w:val="00B663BE"/>
    <w:rsid w:val="00B72A99"/>
    <w:rsid w:val="00B7324A"/>
    <w:rsid w:val="00B857BF"/>
    <w:rsid w:val="00B87565"/>
    <w:rsid w:val="00B91EA2"/>
    <w:rsid w:val="00BA2F71"/>
    <w:rsid w:val="00BB3FBB"/>
    <w:rsid w:val="00BD000B"/>
    <w:rsid w:val="00BD67D8"/>
    <w:rsid w:val="00BE1677"/>
    <w:rsid w:val="00BE1BA2"/>
    <w:rsid w:val="00C007BF"/>
    <w:rsid w:val="00C0271B"/>
    <w:rsid w:val="00C04FB3"/>
    <w:rsid w:val="00C100A6"/>
    <w:rsid w:val="00C14EB9"/>
    <w:rsid w:val="00C1606F"/>
    <w:rsid w:val="00C227DC"/>
    <w:rsid w:val="00C23D87"/>
    <w:rsid w:val="00C305E3"/>
    <w:rsid w:val="00C36308"/>
    <w:rsid w:val="00C43EBA"/>
    <w:rsid w:val="00C46435"/>
    <w:rsid w:val="00C47E18"/>
    <w:rsid w:val="00C54674"/>
    <w:rsid w:val="00C568CA"/>
    <w:rsid w:val="00C64B87"/>
    <w:rsid w:val="00C72B62"/>
    <w:rsid w:val="00C73F93"/>
    <w:rsid w:val="00C80A81"/>
    <w:rsid w:val="00C82913"/>
    <w:rsid w:val="00C87ED0"/>
    <w:rsid w:val="00C925AA"/>
    <w:rsid w:val="00C94E43"/>
    <w:rsid w:val="00C96606"/>
    <w:rsid w:val="00CA42C5"/>
    <w:rsid w:val="00CB139C"/>
    <w:rsid w:val="00CB78E6"/>
    <w:rsid w:val="00CB7BF7"/>
    <w:rsid w:val="00CC1A63"/>
    <w:rsid w:val="00CC3603"/>
    <w:rsid w:val="00CC510A"/>
    <w:rsid w:val="00CC70BF"/>
    <w:rsid w:val="00CD0787"/>
    <w:rsid w:val="00CD0E68"/>
    <w:rsid w:val="00CD24B6"/>
    <w:rsid w:val="00CD6259"/>
    <w:rsid w:val="00CE47B3"/>
    <w:rsid w:val="00CF076A"/>
    <w:rsid w:val="00D01381"/>
    <w:rsid w:val="00D14BEE"/>
    <w:rsid w:val="00D16F2A"/>
    <w:rsid w:val="00D17968"/>
    <w:rsid w:val="00D27833"/>
    <w:rsid w:val="00D30B9E"/>
    <w:rsid w:val="00D36C60"/>
    <w:rsid w:val="00D41D52"/>
    <w:rsid w:val="00D51146"/>
    <w:rsid w:val="00D64BAE"/>
    <w:rsid w:val="00D73DE6"/>
    <w:rsid w:val="00D80C66"/>
    <w:rsid w:val="00D8712F"/>
    <w:rsid w:val="00D87FFC"/>
    <w:rsid w:val="00D9732D"/>
    <w:rsid w:val="00DA3CDE"/>
    <w:rsid w:val="00DA5B3C"/>
    <w:rsid w:val="00DA7987"/>
    <w:rsid w:val="00DB61FF"/>
    <w:rsid w:val="00DE1472"/>
    <w:rsid w:val="00DE2030"/>
    <w:rsid w:val="00DE2C37"/>
    <w:rsid w:val="00E0428A"/>
    <w:rsid w:val="00E12A0E"/>
    <w:rsid w:val="00E14D91"/>
    <w:rsid w:val="00E14F28"/>
    <w:rsid w:val="00E25946"/>
    <w:rsid w:val="00E3776A"/>
    <w:rsid w:val="00E37C87"/>
    <w:rsid w:val="00E606CF"/>
    <w:rsid w:val="00E62DFD"/>
    <w:rsid w:val="00E630EA"/>
    <w:rsid w:val="00E63519"/>
    <w:rsid w:val="00E64660"/>
    <w:rsid w:val="00E71CC8"/>
    <w:rsid w:val="00E76712"/>
    <w:rsid w:val="00E80098"/>
    <w:rsid w:val="00E84C56"/>
    <w:rsid w:val="00E94767"/>
    <w:rsid w:val="00E97F7E"/>
    <w:rsid w:val="00EA3E17"/>
    <w:rsid w:val="00EA4301"/>
    <w:rsid w:val="00EB654E"/>
    <w:rsid w:val="00EB6573"/>
    <w:rsid w:val="00EB778B"/>
    <w:rsid w:val="00EC43C6"/>
    <w:rsid w:val="00EC550B"/>
    <w:rsid w:val="00ED0E2A"/>
    <w:rsid w:val="00ED1546"/>
    <w:rsid w:val="00ED3BAF"/>
    <w:rsid w:val="00EE379D"/>
    <w:rsid w:val="00F01D78"/>
    <w:rsid w:val="00F03413"/>
    <w:rsid w:val="00F04BDC"/>
    <w:rsid w:val="00F10F54"/>
    <w:rsid w:val="00F21DF1"/>
    <w:rsid w:val="00F2527E"/>
    <w:rsid w:val="00F46B2C"/>
    <w:rsid w:val="00F57313"/>
    <w:rsid w:val="00F641F1"/>
    <w:rsid w:val="00F72D14"/>
    <w:rsid w:val="00F7669E"/>
    <w:rsid w:val="00FA68B5"/>
    <w:rsid w:val="00FA7CEE"/>
    <w:rsid w:val="00FB110F"/>
    <w:rsid w:val="00FB5C2C"/>
    <w:rsid w:val="00FD6B9C"/>
    <w:rsid w:val="00FE1702"/>
    <w:rsid w:val="00FE2AA7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FAF494-EC6F-41A6-AFF4-8BBB844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01381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t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rantthornto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ometrPrawa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appdata\roaming\microsoft\szablony\GT_Word_Templates\A4\Press%20Release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249385601335965E-2"/>
          <c:y val="4.1420154562986991E-2"/>
          <c:w val="0.90237009001276869"/>
          <c:h val="0.7737313505573078"/>
        </c:manualLayout>
      </c:layout>
      <c:lineChart>
        <c:grouping val="standard"/>
        <c:varyColors val="0"/>
        <c:ser>
          <c:idx val="0"/>
          <c:order val="0"/>
          <c:tx>
            <c:strRef>
              <c:f>Arkusz1!$B$4</c:f>
              <c:strCache>
                <c:ptCount val="1"/>
                <c:pt idx="0">
                  <c:v>Liczba stron maszynopisu aktów prawnych przyjmowanych w danym roku</c:v>
                </c:pt>
              </c:strCache>
            </c:strRef>
          </c:tx>
          <c:spPr>
            <a:ln>
              <a:solidFill>
                <a:srgbClr val="4F2D7F"/>
              </a:solidFill>
            </a:ln>
          </c:spPr>
          <c:marker>
            <c:symbol val="none"/>
          </c:marker>
          <c:dPt>
            <c:idx val="2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3DA-4032-B9EE-822CDC7B6042}"/>
              </c:ext>
            </c:extLst>
          </c:dPt>
          <c:dPt>
            <c:idx val="29"/>
            <c:marker>
              <c:symbol val="auto"/>
              <c:spPr>
                <a:solidFill>
                  <a:srgbClr val="00A1B5"/>
                </a:solidFill>
                <a:ln>
                  <a:solidFill>
                    <a:srgbClr val="00A1B5"/>
                  </a:solidFill>
                </a:ln>
              </c:spPr>
            </c:marker>
            <c:bubble3D val="0"/>
            <c:spPr>
              <a:ln>
                <a:solidFill>
                  <a:srgbClr val="00A1B5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3DA-4032-B9EE-822CDC7B6042}"/>
              </c:ext>
            </c:extLst>
          </c:dPt>
          <c:dLbls>
            <c:dLbl>
              <c:idx val="28"/>
              <c:layout>
                <c:manualLayout>
                  <c:x val="-1.2480795473834297E-16"/>
                  <c:y val="0.38519605305711585"/>
                </c:manualLayout>
              </c:layout>
              <c:tx>
                <c:rich>
                  <a:bodyPr/>
                  <a:lstStyle/>
                  <a:p>
                    <a:r>
                      <a:rPr lang="en-US" sz="1050" b="1"/>
                      <a:t>13 911</a:t>
                    </a:r>
                  </a:p>
                  <a:p>
                    <a:r>
                      <a:rPr lang="en-US" sz="800" b="0"/>
                      <a:t>(-</a:t>
                    </a:r>
                    <a:r>
                      <a:rPr lang="en-US" sz="800" b="0" baseline="0"/>
                      <a:t> 48,7</a:t>
                    </a:r>
                    <a:r>
                      <a:rPr lang="en-US" sz="800" b="0"/>
                      <a:t>%)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DA-4032-B9EE-822CDC7B604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Arkusz1!$A$5:$A$34</c:f>
              <c:strCache>
                <c:ptCount val="3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2018*</c:v>
                </c:pt>
              </c:strCache>
            </c:strRef>
          </c:cat>
          <c:val>
            <c:numRef>
              <c:f>Arkusz1!$B$5:$B$34</c:f>
              <c:numCache>
                <c:formatCode>General</c:formatCode>
                <c:ptCount val="30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7456</c:v>
                </c:pt>
                <c:pt idx="12">
                  <c:v>13132</c:v>
                </c:pt>
                <c:pt idx="13">
                  <c:v>16020</c:v>
                </c:pt>
                <c:pt idx="14">
                  <c:v>16456</c:v>
                </c:pt>
                <c:pt idx="15">
                  <c:v>21034</c:v>
                </c:pt>
                <c:pt idx="16">
                  <c:v>17612</c:v>
                </c:pt>
                <c:pt idx="17">
                  <c:v>12936</c:v>
                </c:pt>
                <c:pt idx="18">
                  <c:v>17988</c:v>
                </c:pt>
                <c:pt idx="19">
                  <c:v>13724</c:v>
                </c:pt>
                <c:pt idx="20">
                  <c:v>18352</c:v>
                </c:pt>
                <c:pt idx="21">
                  <c:v>18246</c:v>
                </c:pt>
                <c:pt idx="22">
                  <c:v>17484</c:v>
                </c:pt>
                <c:pt idx="23">
                  <c:v>19761</c:v>
                </c:pt>
                <c:pt idx="24">
                  <c:v>22986</c:v>
                </c:pt>
                <c:pt idx="25">
                  <c:v>25634</c:v>
                </c:pt>
                <c:pt idx="26">
                  <c:v>29843</c:v>
                </c:pt>
                <c:pt idx="27" formatCode="0">
                  <c:v>31906</c:v>
                </c:pt>
                <c:pt idx="28" formatCode="0">
                  <c:v>27118</c:v>
                </c:pt>
                <c:pt idx="29" formatCode="#,##0">
                  <c:v>13911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3DA-4032-B9EE-822CDC7B6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/>
          <c:downBars/>
        </c:upDownBars>
        <c:smooth val="0"/>
        <c:axId val="358009776"/>
        <c:axId val="358017392"/>
      </c:lineChart>
      <c:catAx>
        <c:axId val="35800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8017392"/>
        <c:crosses val="autoZero"/>
        <c:auto val="1"/>
        <c:lblAlgn val="ctr"/>
        <c:lblOffset val="100"/>
        <c:noMultiLvlLbl val="0"/>
      </c:catAx>
      <c:valAx>
        <c:axId val="35801739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pl-PL"/>
          </a:p>
        </c:txPr>
        <c:crossAx val="358009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339</TotalTime>
  <Pages>1</Pages>
  <Words>921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Mendak Aleksandra</dc:creator>
  <cp:lastModifiedBy>Husiar Adrianna</cp:lastModifiedBy>
  <cp:revision>11</cp:revision>
  <cp:lastPrinted>2007-08-23T16:47:00Z</cp:lastPrinted>
  <dcterms:created xsi:type="dcterms:W3CDTF">2018-10-11T11:09:00Z</dcterms:created>
  <dcterms:modified xsi:type="dcterms:W3CDTF">2018-10-24T06:07:00Z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