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78" w:rsidRPr="00526557" w:rsidRDefault="00AB0378" w:rsidP="00AB0378">
      <w:pPr>
        <w:rPr>
          <w:rFonts w:ascii="Garamond" w:hAnsi="Garamond"/>
        </w:rPr>
      </w:pPr>
    </w:p>
    <w:p w:rsidR="00AB0378" w:rsidRPr="00526557" w:rsidRDefault="00AB0378" w:rsidP="00AB0378">
      <w:pPr>
        <w:jc w:val="right"/>
        <w:rPr>
          <w:rFonts w:ascii="Garamond" w:hAnsi="Garamond"/>
        </w:rPr>
      </w:pPr>
      <w:r w:rsidRPr="00526557">
        <w:rPr>
          <w:rFonts w:ascii="Garamond" w:hAnsi="Garamond"/>
        </w:rPr>
        <w:t>Warszawa, 31 marca 2017 r.</w:t>
      </w:r>
    </w:p>
    <w:p w:rsidR="00AB0378" w:rsidRPr="00526557" w:rsidRDefault="00AB0378" w:rsidP="004E6FF1">
      <w:pPr>
        <w:rPr>
          <w:rFonts w:ascii="Garamond" w:hAnsi="Garamond"/>
        </w:rPr>
      </w:pPr>
    </w:p>
    <w:p w:rsidR="00AB0378" w:rsidRPr="00526557" w:rsidRDefault="00AB0378" w:rsidP="00AB0378">
      <w:pPr>
        <w:jc w:val="right"/>
        <w:rPr>
          <w:rFonts w:ascii="Garamond" w:hAnsi="Garamond"/>
        </w:rPr>
      </w:pPr>
    </w:p>
    <w:p w:rsidR="00AB0378" w:rsidRPr="00526557" w:rsidRDefault="00AB0378" w:rsidP="00AB0378">
      <w:pPr>
        <w:rPr>
          <w:rFonts w:ascii="Garamond" w:hAnsi="Garamond"/>
        </w:rPr>
      </w:pPr>
    </w:p>
    <w:p w:rsidR="00AB0378" w:rsidRPr="00526557" w:rsidRDefault="000619AB" w:rsidP="00AB0378">
      <w:pPr>
        <w:spacing w:after="0" w:line="240" w:lineRule="auto"/>
        <w:rPr>
          <w:rFonts w:ascii="Garamond" w:hAnsi="Garamond"/>
          <w:b/>
          <w:sz w:val="40"/>
          <w:szCs w:val="32"/>
        </w:rPr>
      </w:pPr>
      <w:r w:rsidRPr="00526557">
        <w:rPr>
          <w:rFonts w:ascii="Garamond" w:hAnsi="Garamond"/>
          <w:b/>
          <w:sz w:val="40"/>
          <w:szCs w:val="32"/>
        </w:rPr>
        <w:t>Rekordowe wpływy transferowe polskich klubów</w:t>
      </w:r>
    </w:p>
    <w:p w:rsidR="00AB0378" w:rsidRPr="00526557" w:rsidRDefault="00AB0378" w:rsidP="00AB0378">
      <w:pPr>
        <w:spacing w:after="0" w:line="240" w:lineRule="auto"/>
        <w:rPr>
          <w:rFonts w:ascii="Garamond" w:hAnsi="Garamond"/>
          <w:sz w:val="24"/>
          <w:szCs w:val="24"/>
        </w:rPr>
      </w:pPr>
    </w:p>
    <w:p w:rsidR="00AB0378" w:rsidRPr="00526557" w:rsidRDefault="00AB0378" w:rsidP="00AB0378">
      <w:pPr>
        <w:spacing w:after="0" w:line="240" w:lineRule="auto"/>
        <w:rPr>
          <w:rFonts w:ascii="Garamond" w:hAnsi="Garamond"/>
          <w:b/>
          <w:color w:val="7030A0"/>
          <w:sz w:val="24"/>
          <w:szCs w:val="24"/>
        </w:rPr>
      </w:pPr>
      <w:r w:rsidRPr="00526557">
        <w:rPr>
          <w:rFonts w:ascii="Garamond" w:hAnsi="Garamond"/>
          <w:b/>
          <w:color w:val="7030A0"/>
          <w:sz w:val="24"/>
          <w:szCs w:val="24"/>
        </w:rPr>
        <w:t>Informacja prasowa</w:t>
      </w:r>
    </w:p>
    <w:p w:rsidR="00AB0378" w:rsidRDefault="00AB0378" w:rsidP="00AB0378">
      <w:pPr>
        <w:spacing w:after="0" w:line="240" w:lineRule="auto"/>
        <w:rPr>
          <w:rFonts w:ascii="Garamond" w:hAnsi="Garamond"/>
          <w:sz w:val="24"/>
          <w:szCs w:val="24"/>
        </w:rPr>
      </w:pPr>
    </w:p>
    <w:p w:rsidR="006A5137" w:rsidRPr="00526557" w:rsidRDefault="006A5137" w:rsidP="00AB0378">
      <w:pPr>
        <w:spacing w:after="0" w:line="240" w:lineRule="auto"/>
        <w:rPr>
          <w:rFonts w:ascii="Garamond" w:hAnsi="Garamond"/>
          <w:sz w:val="24"/>
          <w:szCs w:val="24"/>
        </w:rPr>
      </w:pPr>
    </w:p>
    <w:p w:rsidR="00CF0264" w:rsidRPr="00526557" w:rsidRDefault="002D1E12" w:rsidP="00AB0378">
      <w:pPr>
        <w:spacing w:after="0" w:line="240" w:lineRule="auto"/>
        <w:rPr>
          <w:rFonts w:ascii="Garamond" w:hAnsi="Garamond"/>
          <w:b/>
          <w:sz w:val="24"/>
          <w:szCs w:val="24"/>
        </w:rPr>
      </w:pPr>
      <w:r w:rsidRPr="00526557">
        <w:rPr>
          <w:rFonts w:ascii="Garamond" w:hAnsi="Garamond"/>
          <w:b/>
          <w:sz w:val="24"/>
          <w:szCs w:val="24"/>
        </w:rPr>
        <w:t>Wpływy transferowe klubów piłkarskiej Ekstraklasy osiągnęły w sezonie 2016/2017 wartość 33,5 mln EUR – wynika z obliczeń firmy audytorsko-doradczo-outsourcingowej Grant Thornton. To najlepszy wynik w historii.</w:t>
      </w:r>
    </w:p>
    <w:p w:rsidR="00CF0264" w:rsidRPr="00526557" w:rsidRDefault="00CF0264" w:rsidP="00AB0378">
      <w:pPr>
        <w:spacing w:after="0" w:line="240" w:lineRule="auto"/>
        <w:rPr>
          <w:rFonts w:ascii="Garamond" w:hAnsi="Garamond"/>
          <w:b/>
          <w:sz w:val="24"/>
          <w:szCs w:val="24"/>
        </w:rPr>
      </w:pPr>
    </w:p>
    <w:p w:rsidR="00CF0264" w:rsidRPr="00526557" w:rsidRDefault="00CF0264" w:rsidP="00AB0378">
      <w:pPr>
        <w:spacing w:after="0" w:line="240" w:lineRule="auto"/>
        <w:rPr>
          <w:rFonts w:ascii="Garamond" w:hAnsi="Garamond"/>
          <w:b/>
          <w:sz w:val="24"/>
          <w:szCs w:val="24"/>
        </w:rPr>
      </w:pPr>
    </w:p>
    <w:p w:rsidR="00CF0264" w:rsidRPr="00526557" w:rsidRDefault="00CF0264" w:rsidP="00AF34DD">
      <w:pPr>
        <w:spacing w:after="0" w:line="240" w:lineRule="auto"/>
        <w:ind w:left="567" w:right="567"/>
        <w:rPr>
          <w:rFonts w:asciiTheme="minorHAnsi" w:hAnsiTheme="minorHAnsi" w:cstheme="minorHAnsi"/>
          <w:b/>
          <w:color w:val="00A7B5"/>
          <w:sz w:val="20"/>
          <w:szCs w:val="24"/>
        </w:rPr>
      </w:pPr>
      <w:r w:rsidRPr="00526557">
        <w:rPr>
          <w:rFonts w:asciiTheme="minorHAnsi" w:hAnsiTheme="minorHAnsi" w:cstheme="minorHAnsi"/>
          <w:b/>
          <w:color w:val="00A7B5"/>
          <w:sz w:val="20"/>
          <w:szCs w:val="24"/>
        </w:rPr>
        <w:t>Kluczowe wnioski</w:t>
      </w:r>
      <w:r w:rsidR="00DE5969" w:rsidRPr="00526557">
        <w:rPr>
          <w:rFonts w:asciiTheme="minorHAnsi" w:hAnsiTheme="minorHAnsi" w:cstheme="minorHAnsi"/>
          <w:b/>
          <w:color w:val="00A7B5"/>
          <w:sz w:val="20"/>
          <w:szCs w:val="24"/>
        </w:rPr>
        <w:t xml:space="preserve"> z raportu</w:t>
      </w:r>
      <w:r w:rsidRPr="00526557">
        <w:rPr>
          <w:rFonts w:asciiTheme="minorHAnsi" w:hAnsiTheme="minorHAnsi" w:cstheme="minorHAnsi"/>
          <w:b/>
          <w:color w:val="00A7B5"/>
          <w:sz w:val="20"/>
          <w:szCs w:val="24"/>
        </w:rPr>
        <w:t>:</w:t>
      </w:r>
    </w:p>
    <w:p w:rsidR="002671C8" w:rsidRPr="00526557" w:rsidRDefault="002671C8" w:rsidP="00AF34DD">
      <w:pPr>
        <w:pStyle w:val="Akapitzlist"/>
        <w:numPr>
          <w:ilvl w:val="0"/>
          <w:numId w:val="1"/>
        </w:numPr>
        <w:spacing w:after="0" w:line="240" w:lineRule="auto"/>
        <w:ind w:left="567" w:right="567"/>
        <w:rPr>
          <w:rFonts w:asciiTheme="minorHAnsi" w:hAnsiTheme="minorHAnsi" w:cstheme="minorHAnsi"/>
          <w:color w:val="00A7B5"/>
          <w:sz w:val="20"/>
          <w:szCs w:val="24"/>
        </w:rPr>
      </w:pPr>
      <w:r w:rsidRPr="00526557">
        <w:rPr>
          <w:rFonts w:asciiTheme="minorHAnsi" w:hAnsiTheme="minorHAnsi" w:cstheme="minorHAnsi"/>
          <w:color w:val="00A7B5"/>
          <w:sz w:val="20"/>
          <w:szCs w:val="24"/>
        </w:rPr>
        <w:t>Wpływy transferowe klubów piłkarskiej Ekstraklasy w sezonie 2016/2017 wyniosły 33,5 mln EUR, co jest najwyższym wynikiem w historii</w:t>
      </w:r>
    </w:p>
    <w:p w:rsidR="002671C8" w:rsidRPr="00526557" w:rsidRDefault="002671C8" w:rsidP="00AF34DD">
      <w:pPr>
        <w:spacing w:after="0" w:line="240" w:lineRule="auto"/>
        <w:ind w:left="567" w:right="567"/>
        <w:rPr>
          <w:rFonts w:asciiTheme="minorHAnsi" w:hAnsiTheme="minorHAnsi" w:cstheme="minorHAnsi"/>
          <w:color w:val="00A7B5"/>
          <w:sz w:val="4"/>
          <w:szCs w:val="24"/>
        </w:rPr>
      </w:pPr>
    </w:p>
    <w:p w:rsidR="002671C8" w:rsidRPr="00526557" w:rsidRDefault="002671C8" w:rsidP="00AF34DD">
      <w:pPr>
        <w:pStyle w:val="Akapitzlist"/>
        <w:numPr>
          <w:ilvl w:val="0"/>
          <w:numId w:val="1"/>
        </w:numPr>
        <w:spacing w:after="0" w:line="240" w:lineRule="auto"/>
        <w:ind w:left="567" w:right="567"/>
        <w:rPr>
          <w:rFonts w:asciiTheme="minorHAnsi" w:hAnsiTheme="minorHAnsi" w:cstheme="minorHAnsi"/>
          <w:color w:val="00A7B5"/>
          <w:sz w:val="20"/>
          <w:szCs w:val="24"/>
        </w:rPr>
      </w:pPr>
      <w:r w:rsidRPr="00526557">
        <w:rPr>
          <w:rFonts w:asciiTheme="minorHAnsi" w:hAnsiTheme="minorHAnsi" w:cstheme="minorHAnsi"/>
          <w:color w:val="00A7B5"/>
          <w:sz w:val="20"/>
          <w:szCs w:val="24"/>
        </w:rPr>
        <w:t>Legia Warszawa osiągnęła największe przychody z transferów ze wszystkich klubów Ekstraklasy w sezonie 2016/2017</w:t>
      </w:r>
    </w:p>
    <w:p w:rsidR="002671C8" w:rsidRPr="00526557" w:rsidRDefault="002671C8" w:rsidP="00AF34DD">
      <w:pPr>
        <w:spacing w:after="0" w:line="240" w:lineRule="auto"/>
        <w:ind w:left="567" w:right="567"/>
        <w:rPr>
          <w:rFonts w:asciiTheme="minorHAnsi" w:hAnsiTheme="minorHAnsi" w:cstheme="minorHAnsi"/>
          <w:color w:val="00A7B5"/>
          <w:sz w:val="6"/>
          <w:szCs w:val="24"/>
        </w:rPr>
      </w:pPr>
    </w:p>
    <w:p w:rsidR="002671C8" w:rsidRPr="00526557" w:rsidRDefault="002671C8" w:rsidP="00AF34DD">
      <w:pPr>
        <w:pStyle w:val="Akapitzlist"/>
        <w:numPr>
          <w:ilvl w:val="0"/>
          <w:numId w:val="1"/>
        </w:numPr>
        <w:spacing w:after="0" w:line="240" w:lineRule="auto"/>
        <w:ind w:left="567" w:right="567"/>
        <w:rPr>
          <w:rFonts w:asciiTheme="minorHAnsi" w:hAnsiTheme="minorHAnsi" w:cstheme="minorHAnsi"/>
          <w:color w:val="00A7B5"/>
          <w:sz w:val="20"/>
          <w:szCs w:val="24"/>
        </w:rPr>
      </w:pPr>
      <w:r w:rsidRPr="00526557">
        <w:rPr>
          <w:rFonts w:asciiTheme="minorHAnsi" w:hAnsiTheme="minorHAnsi" w:cstheme="minorHAnsi"/>
          <w:color w:val="00A7B5"/>
          <w:sz w:val="20"/>
          <w:szCs w:val="24"/>
        </w:rPr>
        <w:t xml:space="preserve">Wyniósł on 9,5 mln EUR Kluby piłkarskiej Ekstraklasy </w:t>
      </w:r>
      <w:r w:rsidR="00AF34DD" w:rsidRPr="00526557">
        <w:rPr>
          <w:rFonts w:asciiTheme="minorHAnsi" w:hAnsiTheme="minorHAnsi" w:cstheme="minorHAnsi"/>
          <w:color w:val="00A7B5"/>
          <w:sz w:val="20"/>
          <w:szCs w:val="24"/>
        </w:rPr>
        <w:t xml:space="preserve">wydały na wzmocnienia w sezonie 2016/2017 8 mln EUR – najwięcej od sezonu </w:t>
      </w:r>
      <w:r w:rsidRPr="00526557">
        <w:rPr>
          <w:rFonts w:asciiTheme="minorHAnsi" w:hAnsiTheme="minorHAnsi" w:cstheme="minorHAnsi"/>
          <w:color w:val="00A7B5"/>
          <w:sz w:val="20"/>
          <w:szCs w:val="24"/>
        </w:rPr>
        <w:t>2010/2011</w:t>
      </w:r>
    </w:p>
    <w:p w:rsidR="00AF34DD" w:rsidRPr="00526557" w:rsidRDefault="00AF34DD" w:rsidP="00AF34DD">
      <w:pPr>
        <w:spacing w:after="0" w:line="240" w:lineRule="auto"/>
        <w:ind w:left="567" w:right="567"/>
        <w:rPr>
          <w:rFonts w:asciiTheme="minorHAnsi" w:hAnsiTheme="minorHAnsi" w:cstheme="minorHAnsi"/>
          <w:color w:val="00A7B5"/>
          <w:sz w:val="6"/>
          <w:szCs w:val="24"/>
        </w:rPr>
      </w:pPr>
    </w:p>
    <w:p w:rsidR="00CF0264" w:rsidRPr="00526557" w:rsidRDefault="00AF34DD" w:rsidP="00AF34DD">
      <w:pPr>
        <w:pStyle w:val="Akapitzlist"/>
        <w:numPr>
          <w:ilvl w:val="0"/>
          <w:numId w:val="1"/>
        </w:numPr>
        <w:spacing w:after="0" w:line="240" w:lineRule="auto"/>
        <w:ind w:left="567" w:right="567"/>
        <w:rPr>
          <w:rFonts w:asciiTheme="minorHAnsi" w:hAnsiTheme="minorHAnsi" w:cstheme="minorHAnsi"/>
          <w:color w:val="00A7B5"/>
          <w:sz w:val="20"/>
          <w:szCs w:val="24"/>
        </w:rPr>
      </w:pPr>
      <w:r w:rsidRPr="00526557">
        <w:rPr>
          <w:rFonts w:asciiTheme="minorHAnsi" w:hAnsiTheme="minorHAnsi" w:cstheme="minorHAnsi"/>
          <w:color w:val="00A7B5"/>
          <w:sz w:val="20"/>
          <w:szCs w:val="24"/>
        </w:rPr>
        <w:t xml:space="preserve">Od sezonu 2009/2010 kluby piłkarskiej Ekstraklasy zarobiły na wychowankach niespełna 40 mln EUR, z czego 13,6 mln EUR to przychód </w:t>
      </w:r>
      <w:r w:rsidR="002671C8" w:rsidRPr="00526557">
        <w:rPr>
          <w:rFonts w:asciiTheme="minorHAnsi" w:hAnsiTheme="minorHAnsi" w:cstheme="minorHAnsi"/>
          <w:color w:val="00A7B5"/>
          <w:sz w:val="20"/>
          <w:szCs w:val="24"/>
        </w:rPr>
        <w:t>Legii Warszawa</w:t>
      </w:r>
    </w:p>
    <w:p w:rsidR="00CF0264" w:rsidRPr="00526557" w:rsidRDefault="00CF0264" w:rsidP="00AB0378">
      <w:pPr>
        <w:spacing w:after="0" w:line="240" w:lineRule="auto"/>
        <w:rPr>
          <w:rFonts w:ascii="Garamond" w:hAnsi="Garamond"/>
          <w:sz w:val="24"/>
          <w:szCs w:val="24"/>
        </w:rPr>
      </w:pPr>
    </w:p>
    <w:p w:rsidR="002D1E12" w:rsidRPr="00526557" w:rsidRDefault="002D1E12" w:rsidP="00AB0378">
      <w:pPr>
        <w:spacing w:after="0" w:line="240" w:lineRule="auto"/>
        <w:rPr>
          <w:rFonts w:ascii="Garamond" w:hAnsi="Garamond"/>
          <w:sz w:val="24"/>
          <w:szCs w:val="24"/>
        </w:rPr>
      </w:pPr>
      <w:r w:rsidRPr="00526557">
        <w:rPr>
          <w:rFonts w:ascii="Garamond" w:hAnsi="Garamond"/>
          <w:sz w:val="24"/>
          <w:szCs w:val="24"/>
        </w:rPr>
        <w:t xml:space="preserve"> </w:t>
      </w:r>
    </w:p>
    <w:p w:rsidR="002D1E12" w:rsidRPr="00526557" w:rsidRDefault="00DE5969" w:rsidP="00AB0378">
      <w:pPr>
        <w:spacing w:after="0" w:line="240" w:lineRule="auto"/>
        <w:rPr>
          <w:rFonts w:ascii="Garamond" w:hAnsi="Garamond"/>
          <w:b/>
        </w:rPr>
      </w:pPr>
      <w:r w:rsidRPr="00526557">
        <w:rPr>
          <w:rFonts w:ascii="Garamond" w:hAnsi="Garamond" w:cs="NewsGotTCE"/>
          <w:color w:val="000000"/>
        </w:rPr>
        <w:t>Dobra passa na rynku transferów piłkarskich</w:t>
      </w:r>
      <w:r w:rsidR="00925FBD" w:rsidRPr="00526557">
        <w:rPr>
          <w:rFonts w:ascii="Garamond" w:hAnsi="Garamond" w:cs="NewsGotTCE"/>
          <w:color w:val="000000"/>
        </w:rPr>
        <w:t xml:space="preserve"> w Ekstraklasie</w:t>
      </w:r>
      <w:r w:rsidRPr="00526557">
        <w:rPr>
          <w:rFonts w:ascii="Garamond" w:hAnsi="Garamond" w:cs="NewsGotTCE"/>
          <w:color w:val="000000"/>
        </w:rPr>
        <w:t xml:space="preserve"> trwa w najlepsze – s</w:t>
      </w:r>
      <w:r w:rsidR="00453838" w:rsidRPr="00526557">
        <w:rPr>
          <w:rFonts w:ascii="Garamond" w:hAnsi="Garamond" w:cs="NewsGotTCE"/>
          <w:color w:val="000000"/>
        </w:rPr>
        <w:t>ezon 2016/2</w:t>
      </w:r>
      <w:r w:rsidRPr="00526557">
        <w:rPr>
          <w:rFonts w:ascii="Garamond" w:hAnsi="Garamond" w:cs="NewsGotTCE"/>
          <w:color w:val="000000"/>
        </w:rPr>
        <w:t>017 obfitował pod tym względem w</w:t>
      </w:r>
      <w:r w:rsidR="00925FBD" w:rsidRPr="00526557">
        <w:rPr>
          <w:rFonts w:ascii="Garamond" w:hAnsi="Garamond" w:cs="NewsGotTCE"/>
          <w:color w:val="000000"/>
        </w:rPr>
        <w:t xml:space="preserve"> kolejne historyczne rekordy</w:t>
      </w:r>
      <w:r w:rsidR="00453838" w:rsidRPr="00526557">
        <w:rPr>
          <w:rFonts w:ascii="Garamond" w:hAnsi="Garamond" w:cs="NewsGotTCE"/>
          <w:color w:val="000000"/>
        </w:rPr>
        <w:t xml:space="preserve">. </w:t>
      </w:r>
      <w:r w:rsidR="006A5137">
        <w:rPr>
          <w:rFonts w:ascii="Garamond" w:hAnsi="Garamond" w:cs="NewsGotTCE"/>
          <w:color w:val="000000"/>
        </w:rPr>
        <w:t xml:space="preserve">Polskie kluby sprzedały </w:t>
      </w:r>
      <w:r w:rsidR="00453838" w:rsidRPr="00526557">
        <w:rPr>
          <w:rFonts w:ascii="Garamond" w:hAnsi="Garamond" w:cs="NewsGotTCE"/>
          <w:color w:val="000000"/>
        </w:rPr>
        <w:t>m.in. król</w:t>
      </w:r>
      <w:r w:rsidR="006A5137">
        <w:rPr>
          <w:rFonts w:ascii="Garamond" w:hAnsi="Garamond" w:cs="NewsGotTCE"/>
          <w:color w:val="000000"/>
        </w:rPr>
        <w:t>a</w:t>
      </w:r>
      <w:r w:rsidR="00453838" w:rsidRPr="00526557">
        <w:rPr>
          <w:rFonts w:ascii="Garamond" w:hAnsi="Garamond" w:cs="NewsGotTCE"/>
          <w:color w:val="000000"/>
        </w:rPr>
        <w:t xml:space="preserve"> strzelców sezonu 2015/2016 Węgier </w:t>
      </w:r>
      <w:proofErr w:type="spellStart"/>
      <w:r w:rsidR="00453838" w:rsidRPr="00526557">
        <w:rPr>
          <w:rFonts w:ascii="Garamond" w:hAnsi="Garamond" w:cs="NewsGotTCE"/>
          <w:color w:val="000000"/>
        </w:rPr>
        <w:t>Nemanja</w:t>
      </w:r>
      <w:proofErr w:type="spellEnd"/>
      <w:r w:rsidR="00453838" w:rsidRPr="00526557">
        <w:rPr>
          <w:rFonts w:ascii="Garamond" w:hAnsi="Garamond" w:cs="NewsGotTCE"/>
          <w:color w:val="000000"/>
        </w:rPr>
        <w:t xml:space="preserve"> </w:t>
      </w:r>
      <w:proofErr w:type="spellStart"/>
      <w:r w:rsidR="00453838" w:rsidRPr="00526557">
        <w:rPr>
          <w:rFonts w:ascii="Garamond" w:hAnsi="Garamond" w:cs="NewsGotTCE"/>
          <w:color w:val="000000"/>
        </w:rPr>
        <w:t>Nikolić</w:t>
      </w:r>
      <w:proofErr w:type="spellEnd"/>
      <w:r w:rsidR="00453838" w:rsidRPr="00526557">
        <w:rPr>
          <w:rFonts w:ascii="Garamond" w:hAnsi="Garamond" w:cs="NewsGotTCE"/>
          <w:color w:val="000000"/>
        </w:rPr>
        <w:t xml:space="preserve"> (Legia Warszawa) i młode gwiazdy Ekstraklasy: Bartosz Kapustka (Cracovia), </w:t>
      </w:r>
      <w:proofErr w:type="spellStart"/>
      <w:r w:rsidR="00453838" w:rsidRPr="00526557">
        <w:rPr>
          <w:rFonts w:ascii="Garamond" w:hAnsi="Garamond" w:cs="NewsGotTCE"/>
          <w:color w:val="000000"/>
        </w:rPr>
        <w:t>Ondrej</w:t>
      </w:r>
      <w:proofErr w:type="spellEnd"/>
      <w:r w:rsidR="00453838" w:rsidRPr="00526557">
        <w:rPr>
          <w:rFonts w:ascii="Garamond" w:hAnsi="Garamond" w:cs="NewsGotTCE"/>
          <w:color w:val="000000"/>
        </w:rPr>
        <w:t xml:space="preserve"> Duda (Legia Warszawa), Karol </w:t>
      </w:r>
      <w:proofErr w:type="spellStart"/>
      <w:r w:rsidR="00453838" w:rsidRPr="00526557">
        <w:rPr>
          <w:rFonts w:ascii="Garamond" w:hAnsi="Garamond" w:cs="NewsGotTCE"/>
          <w:color w:val="000000"/>
        </w:rPr>
        <w:t>Linetty</w:t>
      </w:r>
      <w:proofErr w:type="spellEnd"/>
      <w:r w:rsidR="00453838" w:rsidRPr="00526557">
        <w:rPr>
          <w:rFonts w:ascii="Garamond" w:hAnsi="Garamond" w:cs="NewsGotTCE"/>
          <w:color w:val="000000"/>
        </w:rPr>
        <w:t xml:space="preserve"> (Lech Poznań) czy Bartłomiej Drągowski (Jagiellonia Białystok). W rezultacie</w:t>
      </w:r>
      <w:r w:rsidR="006A5137">
        <w:rPr>
          <w:rFonts w:ascii="Garamond" w:hAnsi="Garamond" w:cs="NewsGotTCE"/>
          <w:color w:val="000000"/>
        </w:rPr>
        <w:t>, w</w:t>
      </w:r>
      <w:r w:rsidR="00925FBD" w:rsidRPr="00526557">
        <w:rPr>
          <w:rFonts w:ascii="Garamond" w:hAnsi="Garamond" w:cs="NewsGotTCE"/>
          <w:color w:val="000000"/>
        </w:rPr>
        <w:t xml:space="preserve">edług szacunków Transfermarkt.pl, przychody te osiągnęły </w:t>
      </w:r>
      <w:r w:rsidR="00453838" w:rsidRPr="00526557">
        <w:rPr>
          <w:rFonts w:ascii="Garamond" w:hAnsi="Garamond" w:cs="NewsGotTCE"/>
          <w:color w:val="000000"/>
        </w:rPr>
        <w:t>wartość 33,5 mln EUR – niemal cztery razy większą niż w sezonie 2015/2016 oraz o 10,4 mln EUR większą niż w sezonie 2010/2011, do którego należał poprzedni rekord.</w:t>
      </w:r>
    </w:p>
    <w:p w:rsidR="00AB0378" w:rsidRPr="00526557" w:rsidRDefault="00AB0378" w:rsidP="00AB0378">
      <w:pPr>
        <w:spacing w:after="0" w:line="240" w:lineRule="auto"/>
        <w:rPr>
          <w:rFonts w:ascii="Garamond" w:hAnsi="Garamond"/>
          <w:sz w:val="24"/>
          <w:szCs w:val="24"/>
        </w:rPr>
      </w:pPr>
    </w:p>
    <w:p w:rsidR="00925FBD" w:rsidRPr="00526557" w:rsidRDefault="008204D1" w:rsidP="00C921FC">
      <w:pPr>
        <w:spacing w:line="240" w:lineRule="auto"/>
        <w:rPr>
          <w:rFonts w:ascii="Garamond" w:hAnsi="Garamond"/>
        </w:rPr>
      </w:pPr>
      <w:r w:rsidRPr="00526557">
        <w:rPr>
          <w:rFonts w:ascii="Garamond" w:hAnsi="Garamond"/>
        </w:rPr>
        <w:t xml:space="preserve">- </w:t>
      </w:r>
      <w:r w:rsidRPr="00526557">
        <w:rPr>
          <w:rFonts w:ascii="Garamond" w:hAnsi="Garamond"/>
          <w:i/>
        </w:rPr>
        <w:t>Na wzrost przychodów ze sprzedaży piłkarzy w sezonie 2016/2017 wpłynęły przede wszystkim dwa czynniki</w:t>
      </w:r>
      <w:r w:rsidR="00925FBD" w:rsidRPr="00526557">
        <w:rPr>
          <w:rFonts w:ascii="Garamond" w:hAnsi="Garamond"/>
        </w:rPr>
        <w:t xml:space="preserve">. </w:t>
      </w:r>
      <w:r w:rsidR="00575744" w:rsidRPr="00526557">
        <w:rPr>
          <w:rFonts w:ascii="Garamond" w:hAnsi="Garamond"/>
          <w:i/>
        </w:rPr>
        <w:t>Po pierwsze, udany występ na Euro 2016 podbił wartość niektórych zawodników z Ekstraklasy. Po drugie, gra Legii Warszawa w Lidze Mistrzów poprawiła ogólne postrzeganie piłkarzy grających w polsk</w:t>
      </w:r>
      <w:r w:rsidR="00CB1C26" w:rsidRPr="00526557">
        <w:rPr>
          <w:rFonts w:ascii="Garamond" w:hAnsi="Garamond"/>
          <w:i/>
        </w:rPr>
        <w:t>iej lidze, czego rezultatem była m.in. sprzedaż</w:t>
      </w:r>
      <w:r w:rsidR="00575744" w:rsidRPr="00526557">
        <w:rPr>
          <w:rFonts w:ascii="Garamond" w:hAnsi="Garamond"/>
          <w:i/>
        </w:rPr>
        <w:t xml:space="preserve"> </w:t>
      </w:r>
      <w:proofErr w:type="spellStart"/>
      <w:r w:rsidR="00575744" w:rsidRPr="00526557">
        <w:rPr>
          <w:rFonts w:ascii="Garamond" w:hAnsi="Garamond"/>
          <w:i/>
        </w:rPr>
        <w:t>Aleksandara</w:t>
      </w:r>
      <w:proofErr w:type="spellEnd"/>
      <w:r w:rsidR="00575744" w:rsidRPr="00526557">
        <w:rPr>
          <w:rFonts w:ascii="Garamond" w:hAnsi="Garamond"/>
          <w:i/>
        </w:rPr>
        <w:t xml:space="preserve"> </w:t>
      </w:r>
      <w:proofErr w:type="spellStart"/>
      <w:r w:rsidR="00575744" w:rsidRPr="00526557">
        <w:rPr>
          <w:rFonts w:ascii="Garamond" w:hAnsi="Garamond"/>
          <w:i/>
        </w:rPr>
        <w:t>Prijovicia</w:t>
      </w:r>
      <w:proofErr w:type="spellEnd"/>
      <w:r w:rsidR="00575744" w:rsidRPr="00526557">
        <w:rPr>
          <w:rFonts w:ascii="Garamond" w:hAnsi="Garamond"/>
          <w:i/>
        </w:rPr>
        <w:t xml:space="preserve"> i Bartosza Bereszyńskiego w zimowym okienku transferowym</w:t>
      </w:r>
      <w:r w:rsidR="00575744" w:rsidRPr="00526557">
        <w:rPr>
          <w:rFonts w:ascii="Garamond" w:hAnsi="Garamond"/>
        </w:rPr>
        <w:t xml:space="preserve"> </w:t>
      </w:r>
      <w:r w:rsidR="002853AB">
        <w:rPr>
          <w:rFonts w:ascii="Garamond" w:hAnsi="Garamond"/>
        </w:rPr>
        <w:t xml:space="preserve">– </w:t>
      </w:r>
      <w:bookmarkStart w:id="0" w:name="_GoBack"/>
      <w:bookmarkEnd w:id="0"/>
      <w:r w:rsidR="00925FBD" w:rsidRPr="00526557">
        <w:rPr>
          <w:rFonts w:ascii="Garamond" w:hAnsi="Garamond"/>
        </w:rPr>
        <w:t xml:space="preserve">komentuje </w:t>
      </w:r>
      <w:r w:rsidR="00925FBD" w:rsidRPr="00526557">
        <w:rPr>
          <w:rFonts w:ascii="Garamond" w:hAnsi="Garamond"/>
          <w:b/>
        </w:rPr>
        <w:t>Jan Letkiewicz</w:t>
      </w:r>
      <w:r w:rsidR="00925FBD" w:rsidRPr="00526557">
        <w:rPr>
          <w:rFonts w:ascii="Garamond" w:hAnsi="Garamond"/>
        </w:rPr>
        <w:t>, Partner Zarządzający w Grant Thornton</w:t>
      </w:r>
      <w:r w:rsidR="00575744" w:rsidRPr="00526557">
        <w:rPr>
          <w:rFonts w:ascii="Garamond" w:hAnsi="Garamond"/>
        </w:rPr>
        <w:t>.</w:t>
      </w:r>
    </w:p>
    <w:p w:rsidR="00925FBD" w:rsidRPr="00526557" w:rsidRDefault="00925FBD">
      <w:pPr>
        <w:rPr>
          <w:rFonts w:ascii="Garamond" w:hAnsi="Garamond"/>
        </w:rPr>
      </w:pPr>
      <w:r w:rsidRPr="00526557">
        <w:rPr>
          <w:rFonts w:ascii="Garamond" w:hAnsi="Garamond"/>
        </w:rPr>
        <w:br w:type="page"/>
      </w:r>
    </w:p>
    <w:p w:rsidR="002D1E12" w:rsidRPr="00526557" w:rsidRDefault="002D1E12" w:rsidP="00C921FC">
      <w:pPr>
        <w:spacing w:line="240" w:lineRule="auto"/>
        <w:rPr>
          <w:rFonts w:ascii="Garamond" w:hAnsi="Garamond"/>
        </w:rPr>
      </w:pPr>
    </w:p>
    <w:p w:rsidR="0034527C" w:rsidRPr="00526557" w:rsidRDefault="0034527C" w:rsidP="00C921FC">
      <w:pPr>
        <w:spacing w:line="240" w:lineRule="auto"/>
        <w:rPr>
          <w:rFonts w:ascii="Garamond" w:hAnsi="Garamond" w:cstheme="minorHAnsi"/>
          <w:sz w:val="18"/>
        </w:rPr>
      </w:pPr>
      <w:r w:rsidRPr="00526557">
        <w:rPr>
          <w:rFonts w:ascii="Garamond" w:hAnsi="Garamond" w:cstheme="minorHAnsi"/>
          <w:b/>
          <w:sz w:val="18"/>
        </w:rPr>
        <w:t>Wykres 1.</w:t>
      </w:r>
      <w:r w:rsidRPr="00526557">
        <w:rPr>
          <w:rFonts w:ascii="Garamond" w:hAnsi="Garamond" w:cstheme="minorHAnsi"/>
          <w:sz w:val="18"/>
        </w:rPr>
        <w:t xml:space="preserve"> Łączna wartość wpływów transferowych klubów piłkarskiej Ekstraklasy w poszczególnych sezonach (w EUR)</w:t>
      </w:r>
    </w:p>
    <w:p w:rsidR="0034527C" w:rsidRPr="00526557" w:rsidRDefault="0034527C" w:rsidP="00C921FC">
      <w:pPr>
        <w:spacing w:line="240" w:lineRule="auto"/>
        <w:rPr>
          <w:rFonts w:ascii="Garamond" w:hAnsi="Garamond"/>
        </w:rPr>
      </w:pPr>
      <w:r w:rsidRPr="00526557">
        <w:rPr>
          <w:rFonts w:ascii="Garamond" w:hAnsi="Garamond"/>
          <w:noProof/>
          <w:lang w:eastAsia="pl-PL"/>
        </w:rPr>
        <w:drawing>
          <wp:inline distT="0" distB="0" distL="0" distR="0" wp14:anchorId="681A033D" wp14:editId="48FB3392">
            <wp:extent cx="5756910" cy="1645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645920"/>
                    </a:xfrm>
                    <a:prstGeom prst="rect">
                      <a:avLst/>
                    </a:prstGeom>
                    <a:noFill/>
                    <a:ln>
                      <a:noFill/>
                    </a:ln>
                  </pic:spPr>
                </pic:pic>
              </a:graphicData>
            </a:graphic>
          </wp:inline>
        </w:drawing>
      </w:r>
    </w:p>
    <w:p w:rsidR="0034527C" w:rsidRPr="00526557" w:rsidRDefault="0034527C" w:rsidP="00C921FC">
      <w:pPr>
        <w:spacing w:line="240" w:lineRule="auto"/>
        <w:rPr>
          <w:rFonts w:ascii="Garamond" w:hAnsi="Garamond" w:cstheme="minorHAnsi"/>
          <w:i/>
          <w:color w:val="000000"/>
          <w:sz w:val="16"/>
          <w:szCs w:val="23"/>
        </w:rPr>
      </w:pPr>
      <w:r w:rsidRPr="00526557">
        <w:rPr>
          <w:rFonts w:ascii="Garamond" w:hAnsi="Garamond" w:cstheme="minorHAnsi"/>
          <w:i/>
          <w:color w:val="000000"/>
          <w:sz w:val="16"/>
          <w:szCs w:val="23"/>
        </w:rPr>
        <w:t>Źródło: Obliczenia własne</w:t>
      </w:r>
      <w:r w:rsidR="00925FBD" w:rsidRPr="00526557">
        <w:rPr>
          <w:rFonts w:ascii="Garamond" w:hAnsi="Garamond" w:cstheme="minorHAnsi"/>
          <w:i/>
          <w:color w:val="000000"/>
          <w:sz w:val="16"/>
          <w:szCs w:val="23"/>
        </w:rPr>
        <w:t xml:space="preserve"> Grant Thornton na podstawie T</w:t>
      </w:r>
      <w:r w:rsidRPr="00526557">
        <w:rPr>
          <w:rFonts w:ascii="Garamond" w:hAnsi="Garamond" w:cstheme="minorHAnsi"/>
          <w:i/>
          <w:color w:val="000000"/>
          <w:sz w:val="16"/>
          <w:szCs w:val="23"/>
        </w:rPr>
        <w:t>ransfermarkt.pl</w:t>
      </w:r>
    </w:p>
    <w:p w:rsidR="00C921FC" w:rsidRPr="00526557" w:rsidRDefault="00CE46F5" w:rsidP="00C921FC">
      <w:pPr>
        <w:spacing w:line="240" w:lineRule="auto"/>
        <w:rPr>
          <w:rFonts w:ascii="Garamond" w:hAnsi="Garamond" w:cs="NewsGotTCE"/>
          <w:color w:val="000000"/>
          <w:sz w:val="23"/>
          <w:szCs w:val="23"/>
        </w:rPr>
      </w:pPr>
      <w:r w:rsidRPr="00526557">
        <w:rPr>
          <w:rFonts w:ascii="Garamond" w:hAnsi="Garamond" w:cs="NewsGotTCE"/>
          <w:color w:val="000000"/>
          <w:sz w:val="23"/>
          <w:szCs w:val="23"/>
        </w:rPr>
        <w:t>Rekordowy dla klubów piłkarskiej Ekstraklasy sezon pod względem wpływów transferowych przełożył się również na wzrost wydatków</w:t>
      </w:r>
      <w:r w:rsidR="001516BD" w:rsidRPr="00526557">
        <w:rPr>
          <w:rFonts w:ascii="Garamond" w:hAnsi="Garamond" w:cs="NewsGotTCE"/>
          <w:color w:val="000000"/>
          <w:sz w:val="23"/>
          <w:szCs w:val="23"/>
        </w:rPr>
        <w:t xml:space="preserve">. </w:t>
      </w:r>
      <w:r w:rsidRPr="00526557">
        <w:rPr>
          <w:rFonts w:ascii="Garamond" w:hAnsi="Garamond" w:cs="NewsGotTCE"/>
          <w:color w:val="000000"/>
          <w:sz w:val="23"/>
          <w:szCs w:val="23"/>
        </w:rPr>
        <w:t>Kluby piłkarskiej Ekstraklasy przeznaczyły na wzmocnienia 8,03 mln EUR, a więc o 200 tys. EUR więcej niż przed rokiem i o niespełna 800 tys. więcej niż przed dwoma laty. Warto dodać, że to najwyższy wynik od rekordowego sezonu 2010/2011, kiedy to wydatki transferowe wyniosły 18 mln EUR.</w:t>
      </w:r>
    </w:p>
    <w:p w:rsidR="009626D7" w:rsidRDefault="00CE46F5" w:rsidP="0073642C">
      <w:pPr>
        <w:spacing w:line="240" w:lineRule="auto"/>
        <w:rPr>
          <w:rFonts w:ascii="Garamond" w:hAnsi="Garamond" w:cs="NewsGotTCE"/>
          <w:color w:val="000000"/>
        </w:rPr>
      </w:pPr>
      <w:r w:rsidRPr="00526557">
        <w:rPr>
          <w:rFonts w:ascii="Garamond" w:hAnsi="Garamond" w:cs="NewsGotTCE"/>
          <w:color w:val="000000"/>
        </w:rPr>
        <w:t xml:space="preserve">- </w:t>
      </w:r>
      <w:r w:rsidRPr="00526557">
        <w:rPr>
          <w:rFonts w:ascii="Garamond" w:hAnsi="Garamond" w:cs="NewsGotTCE"/>
          <w:i/>
          <w:color w:val="000000"/>
        </w:rPr>
        <w:t>Stabilizacja wydatków transferowych na poziomie około 8 mln EUR, nawet pomimo faktu, że teoretycznie kluby piłkarskiej Ekstraklasy dysponowały w tym sezonie wyższym budżetem transferowym, potwierdza, że uważnie oglądają one każdą złotówkę wydawaną na wzmocnienia, nie chcąc obciążać budżetu wydatkami na nowych piłkarzy, a zyski ze sprzedaży piłkarzy przeznaczając raczej na bieżącą działalność klubu</w:t>
      </w:r>
      <w:r w:rsidRPr="00526557">
        <w:rPr>
          <w:rFonts w:ascii="Garamond" w:hAnsi="Garamond" w:cs="NewsGotTCE"/>
          <w:color w:val="000000"/>
        </w:rPr>
        <w:t xml:space="preserve"> – ocenia </w:t>
      </w:r>
      <w:r w:rsidRPr="00526557">
        <w:rPr>
          <w:rFonts w:ascii="Garamond" w:hAnsi="Garamond" w:cs="NewsGotTCE"/>
          <w:b/>
          <w:color w:val="000000"/>
        </w:rPr>
        <w:t>Paweł Zaczyński</w:t>
      </w:r>
      <w:r w:rsidRPr="00526557">
        <w:rPr>
          <w:rFonts w:ascii="Garamond" w:hAnsi="Garamond" w:cs="NewsGotTCE"/>
          <w:color w:val="000000"/>
        </w:rPr>
        <w:t xml:space="preserve">, Menedżer w Grant Thornton. </w:t>
      </w:r>
    </w:p>
    <w:p w:rsidR="00526557" w:rsidRPr="00526557" w:rsidRDefault="00526557" w:rsidP="0073642C">
      <w:pPr>
        <w:spacing w:line="240" w:lineRule="auto"/>
        <w:rPr>
          <w:rFonts w:ascii="Garamond" w:hAnsi="Garamond" w:cs="NewsGotTCE"/>
          <w:color w:val="000000"/>
        </w:rPr>
      </w:pPr>
    </w:p>
    <w:p w:rsidR="0073642C" w:rsidRPr="00526557" w:rsidRDefault="000279ED" w:rsidP="0073642C">
      <w:pPr>
        <w:spacing w:line="240" w:lineRule="auto"/>
        <w:rPr>
          <w:rFonts w:ascii="Garamond" w:hAnsi="Garamond" w:cs="NewsGotTCE"/>
          <w:b/>
          <w:color w:val="000000"/>
        </w:rPr>
      </w:pPr>
      <w:r w:rsidRPr="00526557">
        <w:rPr>
          <w:rFonts w:ascii="Garamond" w:hAnsi="Garamond" w:cs="NewsGotTCE"/>
          <w:b/>
          <w:color w:val="000000"/>
        </w:rPr>
        <w:t>Legia liderem na rynku transferowym</w:t>
      </w:r>
    </w:p>
    <w:p w:rsidR="0073642C" w:rsidRPr="00526557" w:rsidRDefault="00D956E1" w:rsidP="002D1E12">
      <w:pPr>
        <w:pStyle w:val="Default"/>
        <w:rPr>
          <w:rFonts w:ascii="Garamond" w:hAnsi="Garamond"/>
          <w:sz w:val="22"/>
          <w:szCs w:val="22"/>
        </w:rPr>
      </w:pPr>
      <w:r w:rsidRPr="00526557">
        <w:rPr>
          <w:rFonts w:ascii="Garamond" w:hAnsi="Garamond"/>
          <w:sz w:val="22"/>
          <w:szCs w:val="22"/>
        </w:rPr>
        <w:t>Klubem, który uzyskał największe wpływy transferowe w sezonie 2016/2017, jest Legia Warszawa. Mistrz Polski podczas letniego i zimowego okienka transferowego sprzedał zawodników za łączną kwotę 14 mln EUR, co stanowiło 41,7 proc. wartości wszystkich transferów z Ekstraklasy. Na drugim</w:t>
      </w:r>
      <w:r w:rsidR="00897D7E" w:rsidRPr="00526557">
        <w:rPr>
          <w:rFonts w:ascii="Garamond" w:hAnsi="Garamond"/>
          <w:sz w:val="22"/>
          <w:szCs w:val="22"/>
        </w:rPr>
        <w:t xml:space="preserve"> miejscu </w:t>
      </w:r>
      <w:r w:rsidRPr="00526557">
        <w:rPr>
          <w:rFonts w:ascii="Garamond" w:hAnsi="Garamond"/>
          <w:sz w:val="22"/>
          <w:szCs w:val="22"/>
        </w:rPr>
        <w:t>uplasował się Lech Poznań, którego przychody ze sprzedaży piłkarzy osiągnęły wartość 6,07 mln E</w:t>
      </w:r>
      <w:r w:rsidR="00897D7E" w:rsidRPr="00526557">
        <w:rPr>
          <w:rFonts w:ascii="Garamond" w:hAnsi="Garamond"/>
          <w:sz w:val="22"/>
          <w:szCs w:val="22"/>
        </w:rPr>
        <w:t xml:space="preserve">UR. Podium zamyka </w:t>
      </w:r>
      <w:r w:rsidRPr="00526557">
        <w:rPr>
          <w:rFonts w:ascii="Garamond" w:hAnsi="Garamond"/>
          <w:sz w:val="22"/>
          <w:szCs w:val="22"/>
        </w:rPr>
        <w:t>Cracovia, która co prawda sprzedała tylko jednego piłkarza, al</w:t>
      </w:r>
      <w:r w:rsidR="00897D7E" w:rsidRPr="00526557">
        <w:rPr>
          <w:rFonts w:ascii="Garamond" w:hAnsi="Garamond"/>
          <w:sz w:val="22"/>
          <w:szCs w:val="22"/>
        </w:rPr>
        <w:t xml:space="preserve">e za to za kwotę aż 5 mln EUR – mowa tu </w:t>
      </w:r>
      <w:r w:rsidRPr="00526557">
        <w:rPr>
          <w:rFonts w:ascii="Garamond" w:hAnsi="Garamond"/>
          <w:sz w:val="22"/>
          <w:szCs w:val="22"/>
        </w:rPr>
        <w:t>o Bartoszu Kapustce, który dzięki dobrej grze w reprezentacji Polski trafił latem do mistrza Anglii, Leicester City.</w:t>
      </w:r>
    </w:p>
    <w:p w:rsidR="00D956E1" w:rsidRPr="00526557" w:rsidRDefault="00D956E1" w:rsidP="00D956E1">
      <w:pPr>
        <w:pStyle w:val="Default"/>
        <w:rPr>
          <w:rFonts w:ascii="Garamond" w:hAnsi="Garamond"/>
          <w:sz w:val="22"/>
          <w:szCs w:val="22"/>
        </w:rPr>
      </w:pPr>
    </w:p>
    <w:p w:rsidR="00D956E1" w:rsidRPr="00526557" w:rsidRDefault="00D956E1" w:rsidP="00D956E1">
      <w:pPr>
        <w:pStyle w:val="Default"/>
        <w:rPr>
          <w:rFonts w:ascii="Garamond" w:hAnsi="Garamond"/>
          <w:sz w:val="22"/>
          <w:szCs w:val="22"/>
        </w:rPr>
      </w:pPr>
      <w:r w:rsidRPr="00526557">
        <w:rPr>
          <w:rFonts w:ascii="Garamond" w:hAnsi="Garamond"/>
          <w:sz w:val="22"/>
          <w:szCs w:val="22"/>
        </w:rPr>
        <w:t>Legia Warsz</w:t>
      </w:r>
      <w:r w:rsidR="008A6C91" w:rsidRPr="00526557">
        <w:rPr>
          <w:rFonts w:ascii="Garamond" w:hAnsi="Garamond"/>
          <w:sz w:val="22"/>
          <w:szCs w:val="22"/>
        </w:rPr>
        <w:t>awa jest również liderem pod względem wydatków transferowych</w:t>
      </w:r>
      <w:r w:rsidRPr="00526557">
        <w:rPr>
          <w:rFonts w:ascii="Garamond" w:hAnsi="Garamond"/>
          <w:sz w:val="22"/>
          <w:szCs w:val="22"/>
        </w:rPr>
        <w:t xml:space="preserve"> w sezonie 2016/2017. Mistrz Polski wydał na wzmocnienia aż 4,5 mln EUR – to 56 proc. wszystkich wydatków na nowych zawodników poniesionych przez kluby piłkarskiej Ekstraklasy. </w:t>
      </w:r>
    </w:p>
    <w:p w:rsidR="00D956E1" w:rsidRPr="00526557" w:rsidRDefault="00D956E1" w:rsidP="00D956E1">
      <w:pPr>
        <w:pStyle w:val="Default"/>
        <w:rPr>
          <w:rFonts w:ascii="Garamond" w:hAnsi="Garamond"/>
          <w:sz w:val="22"/>
          <w:szCs w:val="22"/>
        </w:rPr>
      </w:pPr>
      <w:r w:rsidRPr="00526557">
        <w:rPr>
          <w:rFonts w:ascii="Garamond" w:hAnsi="Garamond"/>
          <w:sz w:val="22"/>
          <w:szCs w:val="22"/>
        </w:rPr>
        <w:t>Ponad milion euro na transfery wydało w tym sezonie Zagłębie Lubin, przeznaczając na pozyskanie nowych piłkarzy 1,05 mln EUR. Na trzeciej pozycji pod względem wydatków na transfery uplasowała się Cracovia, której sprzedaż Bartosza Kapustki pozwoliła przeznaczyć na wzmocnienia 895 tys. EUR.</w:t>
      </w:r>
    </w:p>
    <w:p w:rsidR="00074079" w:rsidRPr="00526557" w:rsidRDefault="00074079" w:rsidP="00074079">
      <w:pPr>
        <w:pStyle w:val="Default"/>
        <w:rPr>
          <w:rFonts w:ascii="Garamond" w:hAnsi="Garamond"/>
        </w:rPr>
      </w:pPr>
    </w:p>
    <w:p w:rsidR="00074079" w:rsidRPr="00526557" w:rsidRDefault="00074079" w:rsidP="00074079">
      <w:pPr>
        <w:pStyle w:val="Default"/>
        <w:rPr>
          <w:rFonts w:ascii="Garamond" w:hAnsi="Garamond"/>
          <w:sz w:val="22"/>
          <w:szCs w:val="22"/>
        </w:rPr>
      </w:pPr>
      <w:r w:rsidRPr="00526557">
        <w:rPr>
          <w:rFonts w:ascii="Garamond" w:hAnsi="Garamond"/>
          <w:i/>
          <w:sz w:val="22"/>
          <w:szCs w:val="22"/>
        </w:rPr>
        <w:t xml:space="preserve">- Legia mogła sobie pozwolić na większą aktywność na rynku transferowym dzięki wysokim przychodom ze sprzedaży piłkarzy oraz awansowi do fazy grupowej Ligi Mistrzów, który wiąże się z otrzymaniem od UEFA nawet ponad 20 mln EUR – </w:t>
      </w:r>
      <w:r w:rsidRPr="00526557">
        <w:rPr>
          <w:rFonts w:ascii="Garamond" w:hAnsi="Garamond"/>
          <w:sz w:val="22"/>
          <w:szCs w:val="22"/>
        </w:rPr>
        <w:t xml:space="preserve">uważa Jan Letkiewicz. </w:t>
      </w:r>
    </w:p>
    <w:p w:rsidR="000279ED" w:rsidRPr="00526557" w:rsidRDefault="000279ED" w:rsidP="00074079">
      <w:pPr>
        <w:pStyle w:val="Default"/>
        <w:rPr>
          <w:rFonts w:ascii="Garamond" w:hAnsi="Garamond"/>
          <w:sz w:val="22"/>
          <w:szCs w:val="22"/>
        </w:rPr>
      </w:pPr>
    </w:p>
    <w:p w:rsidR="000279ED" w:rsidRPr="00526557" w:rsidRDefault="00DA5DA0" w:rsidP="00074079">
      <w:pPr>
        <w:pStyle w:val="Default"/>
        <w:rPr>
          <w:rFonts w:ascii="Garamond" w:hAnsi="Garamond"/>
          <w:sz w:val="22"/>
          <w:szCs w:val="22"/>
        </w:rPr>
      </w:pPr>
      <w:r w:rsidRPr="00526557">
        <w:rPr>
          <w:rFonts w:ascii="Garamond" w:hAnsi="Garamond"/>
          <w:sz w:val="22"/>
          <w:szCs w:val="22"/>
        </w:rPr>
        <w:t xml:space="preserve">Aktualny mistrz Polski okazał się również najlepszy w zestawieniu prezentującym wpływy ze sprzedaży wychowanków od sezonu 2009/2010. Dzięki sprzedaży takich zawodników jak Ariel </w:t>
      </w:r>
      <w:proofErr w:type="spellStart"/>
      <w:r w:rsidRPr="00526557">
        <w:rPr>
          <w:rFonts w:ascii="Garamond" w:hAnsi="Garamond"/>
          <w:sz w:val="22"/>
          <w:szCs w:val="22"/>
        </w:rPr>
        <w:t>Borysiuk</w:t>
      </w:r>
      <w:proofErr w:type="spellEnd"/>
      <w:r w:rsidRPr="00526557">
        <w:rPr>
          <w:rFonts w:ascii="Garamond" w:hAnsi="Garamond"/>
          <w:sz w:val="22"/>
          <w:szCs w:val="22"/>
        </w:rPr>
        <w:t>, Maciej Rybus, Dominik Furman czy Rafał Wolski Legia Warszawa zarobiła 13,6 mln EUR.</w:t>
      </w:r>
      <w:r w:rsidR="00504539" w:rsidRPr="00526557">
        <w:rPr>
          <w:rFonts w:ascii="Garamond" w:hAnsi="Garamond"/>
          <w:sz w:val="22"/>
          <w:szCs w:val="22"/>
        </w:rPr>
        <w:t xml:space="preserve"> Kolejne kluby w tym </w:t>
      </w:r>
      <w:r w:rsidR="00504539" w:rsidRPr="00526557">
        <w:rPr>
          <w:rFonts w:ascii="Garamond" w:hAnsi="Garamond"/>
          <w:sz w:val="22"/>
          <w:szCs w:val="22"/>
        </w:rPr>
        <w:lastRenderedPageBreak/>
        <w:t xml:space="preserve">rankingu – Cracovia i Jagiellonia Białystok – zarobiły odpowiednio 6,5 mln EUR i 5,05 mln EUR. Łączne wpływy klubów piłkarskiej Ekstraklasy </w:t>
      </w:r>
      <w:r w:rsidR="00CB1C26" w:rsidRPr="00526557">
        <w:rPr>
          <w:rFonts w:ascii="Garamond" w:hAnsi="Garamond"/>
          <w:sz w:val="22"/>
          <w:szCs w:val="22"/>
        </w:rPr>
        <w:t xml:space="preserve">z transferów wychowanków od sezonu 2009/2010 wyniosły 39,8 mln EUR. </w:t>
      </w:r>
    </w:p>
    <w:p w:rsidR="00526557" w:rsidRPr="00526557" w:rsidRDefault="00526557" w:rsidP="00074079">
      <w:pPr>
        <w:pStyle w:val="Default"/>
        <w:rPr>
          <w:rFonts w:ascii="Garamond" w:hAnsi="Garamond"/>
          <w:sz w:val="22"/>
          <w:szCs w:val="22"/>
        </w:rPr>
      </w:pPr>
    </w:p>
    <w:p w:rsidR="008A6C91" w:rsidRPr="00526557" w:rsidRDefault="008A6C91" w:rsidP="002D1E12">
      <w:pPr>
        <w:pStyle w:val="Default"/>
        <w:rPr>
          <w:rFonts w:ascii="Garamond" w:hAnsi="Garamond"/>
        </w:rPr>
      </w:pPr>
    </w:p>
    <w:p w:rsidR="00526557" w:rsidRPr="00526557" w:rsidRDefault="00526557" w:rsidP="002D1E12">
      <w:pPr>
        <w:spacing w:line="240" w:lineRule="auto"/>
        <w:rPr>
          <w:rStyle w:val="A11"/>
          <w:rFonts w:ascii="Garamond" w:hAnsi="Garamond" w:cstheme="minorBidi"/>
          <w:b/>
          <w:sz w:val="22"/>
          <w:szCs w:val="22"/>
        </w:rPr>
      </w:pPr>
      <w:r>
        <w:rPr>
          <w:rStyle w:val="A11"/>
          <w:rFonts w:ascii="Garamond" w:hAnsi="Garamond" w:cstheme="minorBidi"/>
          <w:b/>
          <w:sz w:val="22"/>
          <w:szCs w:val="22"/>
        </w:rPr>
        <w:t>O raporcie</w:t>
      </w:r>
    </w:p>
    <w:p w:rsidR="00575744" w:rsidRPr="00526557" w:rsidRDefault="005B25B7" w:rsidP="002D1E12">
      <w:pPr>
        <w:spacing w:line="240" w:lineRule="auto"/>
        <w:rPr>
          <w:rFonts w:ascii="Garamond" w:hAnsi="Garamond"/>
        </w:rPr>
      </w:pPr>
      <w:r w:rsidRPr="00526557">
        <w:rPr>
          <w:rStyle w:val="A11"/>
          <w:rFonts w:ascii="Garamond" w:hAnsi="Garamond" w:cstheme="minorBidi"/>
          <w:sz w:val="22"/>
          <w:szCs w:val="22"/>
        </w:rPr>
        <w:t>„Transfery w Ekstraklasie” to cykliczny raport przygotowywany przez firmę audytorsko-doradczo-outsourcingową Grant Thornton.  Tegoroczna edycja została stworzona</w:t>
      </w:r>
      <w:r w:rsidR="002D1E12" w:rsidRPr="00526557">
        <w:rPr>
          <w:rStyle w:val="A11"/>
          <w:rFonts w:ascii="Garamond" w:hAnsi="Garamond" w:cstheme="minorBidi"/>
          <w:sz w:val="22"/>
          <w:szCs w:val="22"/>
        </w:rPr>
        <w:t xml:space="preserve"> na podstawie szacunkowy</w:t>
      </w:r>
      <w:r w:rsidR="008A6C91" w:rsidRPr="00526557">
        <w:rPr>
          <w:rStyle w:val="A11"/>
          <w:rFonts w:ascii="Garamond" w:hAnsi="Garamond" w:cstheme="minorBidi"/>
          <w:sz w:val="22"/>
          <w:szCs w:val="22"/>
        </w:rPr>
        <w:t>ch danych zawartych na stronie T</w:t>
      </w:r>
      <w:r w:rsidR="002D1E12" w:rsidRPr="00526557">
        <w:rPr>
          <w:rStyle w:val="A11"/>
          <w:rFonts w:ascii="Garamond" w:hAnsi="Garamond" w:cstheme="minorBidi"/>
          <w:sz w:val="22"/>
          <w:szCs w:val="22"/>
        </w:rPr>
        <w:t>ransfermarkt.pl na dzień 6 marca 2017. Kwoty podawane na tym portalu uwzględniają jedynie kwotę odstępnego, czyli kwotę, którą klub musiał zapłacić drugiemu klubowi, aby pozyskać danego zawodnika. Nie obejmują zatem dodatkowych kosztów związanych z transferem, takich jak np. prowizja dla agenta, opłaty solidarnościowe czy premia za podpis.</w:t>
      </w:r>
    </w:p>
    <w:p w:rsidR="00AB0378" w:rsidRPr="00526557" w:rsidRDefault="00AB0378" w:rsidP="00AB0378">
      <w:pPr>
        <w:pStyle w:val="Tekstpodstawowy"/>
        <w:spacing w:after="0" w:line="240" w:lineRule="auto"/>
        <w:jc w:val="both"/>
        <w:rPr>
          <w:rFonts w:eastAsia="Calibri" w:cs="Times New Roman"/>
          <w:szCs w:val="22"/>
          <w:lang w:val="pl-PL"/>
        </w:rPr>
      </w:pPr>
    </w:p>
    <w:p w:rsidR="00504539" w:rsidRPr="00526557" w:rsidRDefault="00504539" w:rsidP="00AB0378">
      <w:pPr>
        <w:pStyle w:val="Tekstpodstawowy"/>
        <w:spacing w:after="0" w:line="240" w:lineRule="auto"/>
        <w:jc w:val="both"/>
        <w:rPr>
          <w:b/>
          <w:szCs w:val="22"/>
          <w:u w:val="single"/>
          <w:lang w:val="pl-PL"/>
        </w:rPr>
      </w:pPr>
    </w:p>
    <w:p w:rsidR="00504539" w:rsidRPr="00526557" w:rsidRDefault="00504539" w:rsidP="00AB0378">
      <w:pPr>
        <w:pStyle w:val="Tekstpodstawowy"/>
        <w:spacing w:after="0" w:line="240" w:lineRule="auto"/>
        <w:jc w:val="both"/>
        <w:rPr>
          <w:b/>
          <w:szCs w:val="22"/>
          <w:u w:val="single"/>
          <w:lang w:val="pl-PL"/>
        </w:rPr>
      </w:pPr>
    </w:p>
    <w:p w:rsidR="00504539" w:rsidRPr="00526557" w:rsidRDefault="00504539" w:rsidP="00AB0378">
      <w:pPr>
        <w:pStyle w:val="Tekstpodstawowy"/>
        <w:spacing w:after="0" w:line="240" w:lineRule="auto"/>
        <w:jc w:val="both"/>
        <w:rPr>
          <w:b/>
          <w:szCs w:val="22"/>
          <w:u w:val="single"/>
          <w:lang w:val="pl-PL"/>
        </w:rPr>
      </w:pPr>
    </w:p>
    <w:p w:rsidR="00AB0378" w:rsidRPr="00526557" w:rsidRDefault="00AB0378" w:rsidP="00AB0378">
      <w:pPr>
        <w:pStyle w:val="Tekstpodstawowy"/>
        <w:spacing w:after="0" w:line="240" w:lineRule="auto"/>
        <w:jc w:val="both"/>
        <w:rPr>
          <w:b/>
          <w:szCs w:val="22"/>
          <w:u w:val="single"/>
          <w:lang w:val="pl-PL"/>
        </w:rPr>
      </w:pPr>
      <w:r w:rsidRPr="00526557">
        <w:rPr>
          <w:b/>
          <w:szCs w:val="22"/>
          <w:u w:val="single"/>
          <w:lang w:val="pl-PL"/>
        </w:rPr>
        <w:t>Kontakt dla mediów:</w:t>
      </w:r>
    </w:p>
    <w:p w:rsidR="00AB0378" w:rsidRDefault="00AB0378" w:rsidP="00AB0378">
      <w:pPr>
        <w:pStyle w:val="Tekstpodstawowy"/>
        <w:spacing w:after="0" w:line="240" w:lineRule="auto"/>
        <w:jc w:val="both"/>
        <w:rPr>
          <w:szCs w:val="22"/>
          <w:lang w:val="pl-PL"/>
        </w:rPr>
      </w:pPr>
    </w:p>
    <w:p w:rsidR="005B25B7" w:rsidRDefault="005B25B7" w:rsidP="005B25B7">
      <w:pPr>
        <w:pStyle w:val="Nagwek1"/>
        <w:spacing w:line="240" w:lineRule="auto"/>
        <w:jc w:val="both"/>
        <w:rPr>
          <w:rFonts w:ascii="Garamond" w:hAnsi="Garamond"/>
          <w:color w:val="000000"/>
          <w:sz w:val="22"/>
          <w:szCs w:val="22"/>
          <w:u w:val="single"/>
          <w:lang w:val="pl-PL"/>
        </w:rPr>
      </w:pPr>
      <w:r>
        <w:rPr>
          <w:rFonts w:ascii="Garamond" w:hAnsi="Garamond"/>
          <w:color w:val="000000"/>
          <w:sz w:val="22"/>
          <w:szCs w:val="22"/>
          <w:u w:val="single"/>
          <w:lang w:val="pl-PL"/>
        </w:rPr>
        <w:t>Jan Letkiewicz</w:t>
      </w:r>
    </w:p>
    <w:p w:rsidR="005B25B7" w:rsidRDefault="005B25B7" w:rsidP="005B25B7">
      <w:pPr>
        <w:pStyle w:val="Tekstpodstawowy"/>
        <w:spacing w:after="0" w:line="240" w:lineRule="auto"/>
        <w:rPr>
          <w:lang w:val="pl-PL"/>
        </w:rPr>
      </w:pPr>
      <w:r>
        <w:rPr>
          <w:lang w:val="pl-PL"/>
        </w:rPr>
        <w:t>Partner Zarządzający</w:t>
      </w:r>
    </w:p>
    <w:p w:rsidR="005B25B7" w:rsidRPr="00CF0264" w:rsidRDefault="005B25B7" w:rsidP="005B25B7">
      <w:pPr>
        <w:pStyle w:val="Tekstpodstawowy"/>
        <w:spacing w:after="0" w:line="240" w:lineRule="auto"/>
        <w:rPr>
          <w:lang w:val="en-GB"/>
        </w:rPr>
      </w:pPr>
      <w:proofErr w:type="spellStart"/>
      <w:r w:rsidRPr="00CF0264">
        <w:rPr>
          <w:lang w:val="en-GB"/>
        </w:rPr>
        <w:t>Audyt</w:t>
      </w:r>
      <w:proofErr w:type="spellEnd"/>
    </w:p>
    <w:p w:rsidR="005B25B7" w:rsidRPr="00CF0264" w:rsidRDefault="005B25B7" w:rsidP="005B25B7">
      <w:pPr>
        <w:pStyle w:val="Tekstpodstawowy"/>
        <w:spacing w:after="0" w:line="240" w:lineRule="auto"/>
        <w:rPr>
          <w:lang w:val="en-GB"/>
        </w:rPr>
      </w:pPr>
      <w:r w:rsidRPr="00CF0264">
        <w:rPr>
          <w:lang w:val="en-GB"/>
        </w:rPr>
        <w:t>Grant Thornton</w:t>
      </w:r>
    </w:p>
    <w:p w:rsidR="005B25B7" w:rsidRPr="005B25B7" w:rsidRDefault="005B25B7" w:rsidP="005B25B7">
      <w:pPr>
        <w:pStyle w:val="Pa4"/>
        <w:rPr>
          <w:rFonts w:ascii="Garamond" w:hAnsi="Garamond"/>
          <w:sz w:val="22"/>
          <w:szCs w:val="22"/>
          <w:lang w:val="en-US"/>
        </w:rPr>
      </w:pPr>
      <w:r w:rsidRPr="005B25B7">
        <w:rPr>
          <w:rFonts w:ascii="Garamond" w:hAnsi="Garamond"/>
          <w:sz w:val="22"/>
          <w:szCs w:val="22"/>
          <w:lang w:val="en-US"/>
        </w:rPr>
        <w:t>T +48 61 62 51 208</w:t>
      </w:r>
    </w:p>
    <w:p w:rsidR="005B25B7" w:rsidRPr="005B25B7" w:rsidRDefault="005B25B7" w:rsidP="005B25B7">
      <w:pPr>
        <w:pStyle w:val="Pa4"/>
        <w:rPr>
          <w:rFonts w:ascii="Garamond" w:hAnsi="Garamond"/>
          <w:sz w:val="22"/>
          <w:szCs w:val="22"/>
          <w:lang w:val="en-US"/>
        </w:rPr>
      </w:pPr>
      <w:r w:rsidRPr="005B25B7">
        <w:rPr>
          <w:rFonts w:ascii="Garamond" w:hAnsi="Garamond"/>
          <w:sz w:val="22"/>
          <w:szCs w:val="22"/>
          <w:lang w:val="en-US"/>
        </w:rPr>
        <w:t>M +48 607 665 728</w:t>
      </w:r>
    </w:p>
    <w:p w:rsidR="005B25B7" w:rsidRDefault="005B25B7" w:rsidP="005B25B7">
      <w:pPr>
        <w:pStyle w:val="Tekstpodstawowy"/>
        <w:spacing w:after="0" w:line="240" w:lineRule="auto"/>
        <w:jc w:val="both"/>
        <w:rPr>
          <w:sz w:val="23"/>
          <w:szCs w:val="23"/>
        </w:rPr>
      </w:pPr>
      <w:r>
        <w:rPr>
          <w:sz w:val="23"/>
          <w:szCs w:val="23"/>
        </w:rPr>
        <w:t xml:space="preserve">E </w:t>
      </w:r>
      <w:hyperlink r:id="rId9" w:history="1">
        <w:r w:rsidRPr="00532BA0">
          <w:rPr>
            <w:rStyle w:val="Hipercze"/>
            <w:sz w:val="23"/>
            <w:szCs w:val="23"/>
            <w:lang w:val="en-US"/>
          </w:rPr>
          <w:t>jan.letkiewicz@pl.gt.com</w:t>
        </w:r>
      </w:hyperlink>
      <w:r>
        <w:rPr>
          <w:sz w:val="23"/>
          <w:szCs w:val="23"/>
        </w:rPr>
        <w:t xml:space="preserve"> </w:t>
      </w:r>
    </w:p>
    <w:p w:rsidR="005B25B7" w:rsidRDefault="005B25B7" w:rsidP="005B25B7">
      <w:pPr>
        <w:pStyle w:val="Tekstpodstawowy"/>
        <w:spacing w:after="0" w:line="240" w:lineRule="auto"/>
        <w:jc w:val="both"/>
        <w:rPr>
          <w:sz w:val="23"/>
          <w:szCs w:val="23"/>
        </w:rPr>
      </w:pPr>
    </w:p>
    <w:p w:rsidR="005B25B7" w:rsidRPr="00CF0264" w:rsidRDefault="005B25B7" w:rsidP="005B25B7">
      <w:pPr>
        <w:pStyle w:val="Tekstpodstawowy"/>
        <w:spacing w:after="0" w:line="240" w:lineRule="auto"/>
        <w:jc w:val="both"/>
        <w:rPr>
          <w:sz w:val="23"/>
          <w:szCs w:val="23"/>
          <w:u w:val="single"/>
          <w:lang w:val="pl-PL"/>
        </w:rPr>
      </w:pPr>
      <w:r w:rsidRPr="00CF0264">
        <w:rPr>
          <w:sz w:val="23"/>
          <w:szCs w:val="23"/>
          <w:u w:val="single"/>
          <w:lang w:val="pl-PL"/>
        </w:rPr>
        <w:t>Paweł Zaczyński</w:t>
      </w:r>
    </w:p>
    <w:p w:rsidR="005B25B7" w:rsidRPr="00452291" w:rsidRDefault="005B25B7" w:rsidP="005B25B7">
      <w:pPr>
        <w:pStyle w:val="Tekstpodstawowy"/>
        <w:spacing w:after="0" w:line="240" w:lineRule="auto"/>
        <w:jc w:val="both"/>
        <w:rPr>
          <w:sz w:val="23"/>
          <w:szCs w:val="23"/>
          <w:lang w:val="pl-PL"/>
        </w:rPr>
      </w:pPr>
      <w:r w:rsidRPr="00452291">
        <w:rPr>
          <w:sz w:val="23"/>
          <w:szCs w:val="23"/>
          <w:lang w:val="pl-PL"/>
        </w:rPr>
        <w:t>Menedżer</w:t>
      </w:r>
    </w:p>
    <w:p w:rsidR="005B25B7" w:rsidRPr="00452291" w:rsidRDefault="005B25B7" w:rsidP="008A4F4E">
      <w:pPr>
        <w:pStyle w:val="Tekstpodstawowy"/>
        <w:spacing w:after="0" w:line="240" w:lineRule="auto"/>
        <w:jc w:val="both"/>
        <w:rPr>
          <w:sz w:val="23"/>
          <w:szCs w:val="23"/>
          <w:lang w:val="pl-PL"/>
        </w:rPr>
      </w:pPr>
      <w:r w:rsidRPr="00452291">
        <w:rPr>
          <w:sz w:val="23"/>
          <w:szCs w:val="23"/>
          <w:lang w:val="pl-PL"/>
        </w:rPr>
        <w:t>Audyt</w:t>
      </w:r>
    </w:p>
    <w:p w:rsidR="005B25B7" w:rsidRPr="00CF0264" w:rsidRDefault="005B25B7" w:rsidP="008A4F4E">
      <w:pPr>
        <w:pStyle w:val="Pa4"/>
        <w:rPr>
          <w:rFonts w:ascii="Garamond" w:hAnsi="Garamond"/>
          <w:sz w:val="22"/>
          <w:szCs w:val="22"/>
        </w:rPr>
      </w:pPr>
      <w:r w:rsidRPr="00CF0264">
        <w:rPr>
          <w:rFonts w:ascii="Garamond" w:hAnsi="Garamond"/>
          <w:sz w:val="22"/>
          <w:szCs w:val="22"/>
        </w:rPr>
        <w:t>T +48 22 20 54 873</w:t>
      </w:r>
    </w:p>
    <w:p w:rsidR="005B25B7" w:rsidRPr="008A4F4E" w:rsidRDefault="005B25B7" w:rsidP="008A4F4E">
      <w:pPr>
        <w:pStyle w:val="Pa4"/>
        <w:rPr>
          <w:rFonts w:ascii="Garamond" w:hAnsi="Garamond"/>
          <w:sz w:val="22"/>
          <w:szCs w:val="22"/>
          <w:lang w:val="en-US"/>
        </w:rPr>
      </w:pPr>
      <w:r w:rsidRPr="008A4F4E">
        <w:rPr>
          <w:rFonts w:ascii="Garamond" w:hAnsi="Garamond"/>
          <w:sz w:val="22"/>
          <w:szCs w:val="22"/>
          <w:lang w:val="en-US"/>
        </w:rPr>
        <w:t>M +48 691 710 407</w:t>
      </w:r>
    </w:p>
    <w:p w:rsidR="005B25B7" w:rsidRDefault="005B25B7" w:rsidP="005B25B7">
      <w:pPr>
        <w:pStyle w:val="Tekstpodstawowy"/>
        <w:spacing w:after="0" w:line="240" w:lineRule="auto"/>
        <w:jc w:val="both"/>
        <w:rPr>
          <w:sz w:val="23"/>
          <w:szCs w:val="23"/>
        </w:rPr>
      </w:pPr>
      <w:r w:rsidRPr="008A4F4E">
        <w:rPr>
          <w:sz w:val="23"/>
          <w:szCs w:val="23"/>
        </w:rPr>
        <w:t xml:space="preserve">E </w:t>
      </w:r>
      <w:hyperlink r:id="rId10" w:history="1">
        <w:r w:rsidR="008A4F4E" w:rsidRPr="008A4F4E">
          <w:rPr>
            <w:rStyle w:val="Hipercze"/>
            <w:sz w:val="23"/>
            <w:szCs w:val="23"/>
            <w:lang w:val="en-US"/>
          </w:rPr>
          <w:t>pawel.zaczynski@pl.gt.com</w:t>
        </w:r>
      </w:hyperlink>
      <w:r w:rsidR="008A4F4E" w:rsidRPr="008A4F4E">
        <w:rPr>
          <w:sz w:val="23"/>
          <w:szCs w:val="23"/>
        </w:rPr>
        <w:t xml:space="preserve"> </w:t>
      </w:r>
    </w:p>
    <w:p w:rsidR="008A4F4E" w:rsidRPr="008A4F4E" w:rsidRDefault="008A4F4E" w:rsidP="005B25B7">
      <w:pPr>
        <w:pStyle w:val="Tekstpodstawowy"/>
        <w:spacing w:after="0" w:line="240" w:lineRule="auto"/>
        <w:jc w:val="both"/>
        <w:rPr>
          <w:sz w:val="23"/>
          <w:szCs w:val="23"/>
        </w:rPr>
      </w:pPr>
    </w:p>
    <w:p w:rsidR="00AB0378" w:rsidRPr="00687177" w:rsidRDefault="00AB0378" w:rsidP="00AB0378">
      <w:pPr>
        <w:pStyle w:val="Nagwek1"/>
        <w:spacing w:line="240" w:lineRule="auto"/>
        <w:jc w:val="both"/>
        <w:rPr>
          <w:rFonts w:ascii="Garamond" w:hAnsi="Garamond"/>
          <w:color w:val="000000"/>
          <w:sz w:val="22"/>
          <w:szCs w:val="22"/>
          <w:u w:val="single"/>
          <w:lang w:val="pl-PL"/>
        </w:rPr>
      </w:pPr>
      <w:r w:rsidRPr="00687177">
        <w:rPr>
          <w:rFonts w:ascii="Garamond" w:hAnsi="Garamond"/>
          <w:color w:val="000000"/>
          <w:sz w:val="22"/>
          <w:szCs w:val="22"/>
          <w:u w:val="single"/>
          <w:lang w:val="pl-PL"/>
        </w:rPr>
        <w:t>Jacek Kowalczyk</w:t>
      </w:r>
    </w:p>
    <w:p w:rsidR="00AB0378" w:rsidRPr="00D22D0B" w:rsidRDefault="00AB0378" w:rsidP="00AB0378">
      <w:pPr>
        <w:pStyle w:val="Tekstpodstawowy"/>
        <w:spacing w:after="0" w:line="240" w:lineRule="auto"/>
        <w:rPr>
          <w:szCs w:val="22"/>
          <w:lang w:val="pl-PL"/>
        </w:rPr>
      </w:pPr>
      <w:r w:rsidRPr="00687177">
        <w:rPr>
          <w:szCs w:val="22"/>
          <w:lang w:val="pl-PL"/>
        </w:rPr>
        <w:t xml:space="preserve">Dyrektor ds. </w:t>
      </w:r>
      <w:r w:rsidR="00453838">
        <w:rPr>
          <w:szCs w:val="22"/>
          <w:lang w:val="pl-PL"/>
        </w:rPr>
        <w:t>Marke</w:t>
      </w:r>
      <w:r>
        <w:rPr>
          <w:szCs w:val="22"/>
          <w:lang w:val="pl-PL"/>
        </w:rPr>
        <w:t xml:space="preserve">tingu i </w:t>
      </w:r>
      <w:r w:rsidRPr="00D22D0B">
        <w:rPr>
          <w:szCs w:val="22"/>
          <w:lang w:val="pl-PL"/>
        </w:rPr>
        <w:t>PR</w:t>
      </w:r>
    </w:p>
    <w:p w:rsidR="00AB0378" w:rsidRPr="00322279" w:rsidRDefault="00AB0378" w:rsidP="00AB0378">
      <w:pPr>
        <w:pStyle w:val="Tekstpodstawowy"/>
        <w:spacing w:after="0" w:line="240" w:lineRule="auto"/>
        <w:rPr>
          <w:szCs w:val="22"/>
          <w:lang w:val="en-GB"/>
        </w:rPr>
      </w:pPr>
      <w:r w:rsidRPr="00322279">
        <w:rPr>
          <w:szCs w:val="22"/>
          <w:lang w:val="en-GB"/>
        </w:rPr>
        <w:t>Grant Thornton</w:t>
      </w:r>
    </w:p>
    <w:p w:rsidR="00AB0378" w:rsidRDefault="00AB0378" w:rsidP="00AB0378">
      <w:pPr>
        <w:pStyle w:val="Nagwek1"/>
        <w:spacing w:line="240" w:lineRule="auto"/>
        <w:jc w:val="both"/>
        <w:rPr>
          <w:rFonts w:ascii="Garamond" w:hAnsi="Garamond"/>
          <w:color w:val="000000"/>
          <w:sz w:val="22"/>
          <w:szCs w:val="22"/>
          <w:lang w:val="de-DE"/>
        </w:rPr>
      </w:pPr>
      <w:r>
        <w:rPr>
          <w:rFonts w:ascii="Garamond" w:hAnsi="Garamond"/>
          <w:color w:val="000000"/>
          <w:sz w:val="22"/>
          <w:szCs w:val="22"/>
          <w:lang w:val="de-DE"/>
        </w:rPr>
        <w:t>T +48 22 205 48 41</w:t>
      </w:r>
    </w:p>
    <w:p w:rsidR="00AB0378" w:rsidRPr="00687177" w:rsidRDefault="00AB0378" w:rsidP="00AB0378">
      <w:pPr>
        <w:pStyle w:val="Nagwek1"/>
        <w:spacing w:line="240" w:lineRule="auto"/>
        <w:jc w:val="both"/>
        <w:rPr>
          <w:rFonts w:ascii="Garamond" w:hAnsi="Garamond"/>
          <w:color w:val="000000"/>
          <w:sz w:val="22"/>
          <w:szCs w:val="22"/>
          <w:lang w:val="de-DE"/>
        </w:rPr>
      </w:pPr>
      <w:r>
        <w:rPr>
          <w:rFonts w:ascii="Garamond" w:hAnsi="Garamond"/>
          <w:color w:val="000000"/>
          <w:sz w:val="22"/>
          <w:szCs w:val="22"/>
          <w:lang w:val="de-DE"/>
        </w:rPr>
        <w:t>M</w:t>
      </w:r>
      <w:r w:rsidRPr="00687177">
        <w:rPr>
          <w:rFonts w:ascii="Garamond" w:hAnsi="Garamond"/>
          <w:color w:val="000000"/>
          <w:sz w:val="22"/>
          <w:szCs w:val="22"/>
          <w:lang w:val="de-DE"/>
        </w:rPr>
        <w:t xml:space="preserve"> </w:t>
      </w:r>
      <w:r>
        <w:rPr>
          <w:rFonts w:ascii="Garamond" w:hAnsi="Garamond"/>
          <w:color w:val="000000"/>
          <w:sz w:val="22"/>
          <w:szCs w:val="22"/>
          <w:lang w:val="de-DE"/>
        </w:rPr>
        <w:t xml:space="preserve">+48 </w:t>
      </w:r>
      <w:r w:rsidRPr="00687177">
        <w:rPr>
          <w:rFonts w:ascii="Garamond" w:hAnsi="Garamond"/>
          <w:color w:val="000000"/>
          <w:sz w:val="22"/>
          <w:szCs w:val="22"/>
          <w:lang w:val="de-DE"/>
        </w:rPr>
        <w:t>505 024 168</w:t>
      </w:r>
    </w:p>
    <w:p w:rsidR="00AB0378" w:rsidRPr="00A2408B" w:rsidRDefault="00AB0378" w:rsidP="00AB0378">
      <w:pPr>
        <w:pStyle w:val="Tekstpodstawowy"/>
        <w:spacing w:after="0" w:line="240" w:lineRule="auto"/>
        <w:rPr>
          <w:szCs w:val="22"/>
        </w:rPr>
      </w:pPr>
      <w:r>
        <w:rPr>
          <w:color w:val="000000"/>
          <w:szCs w:val="22"/>
        </w:rPr>
        <w:t>E</w:t>
      </w:r>
      <w:r w:rsidRPr="00687177">
        <w:rPr>
          <w:color w:val="000000"/>
          <w:szCs w:val="22"/>
        </w:rPr>
        <w:t xml:space="preserve"> </w:t>
      </w:r>
      <w:hyperlink r:id="rId11" w:history="1">
        <w:r w:rsidRPr="00687177">
          <w:rPr>
            <w:rStyle w:val="Hipercze"/>
            <w:szCs w:val="22"/>
          </w:rPr>
          <w:t>jacek.kowalczyk@pl.gt.com</w:t>
        </w:r>
      </w:hyperlink>
    </w:p>
    <w:p w:rsidR="00AB0378" w:rsidRDefault="00AB0378" w:rsidP="00AB0378">
      <w:pPr>
        <w:spacing w:after="0" w:line="240" w:lineRule="auto"/>
        <w:rPr>
          <w:rFonts w:ascii="Garamond" w:hAnsi="Garamond"/>
          <w:lang w:val="en-US"/>
        </w:rPr>
      </w:pPr>
    </w:p>
    <w:p w:rsidR="00AB0378" w:rsidRPr="00D22D0B" w:rsidRDefault="00AB0378" w:rsidP="00AB0378">
      <w:pPr>
        <w:spacing w:after="0" w:line="240" w:lineRule="auto"/>
        <w:rPr>
          <w:rFonts w:ascii="Garamond" w:hAnsi="Garamond"/>
          <w:sz w:val="24"/>
          <w:szCs w:val="24"/>
          <w:lang w:val="en-US"/>
        </w:rPr>
      </w:pPr>
    </w:p>
    <w:p w:rsidR="00AB0378" w:rsidRPr="00D22D0B" w:rsidRDefault="00AB0378" w:rsidP="00AB0378">
      <w:pPr>
        <w:spacing w:after="0" w:line="240" w:lineRule="auto"/>
        <w:rPr>
          <w:rFonts w:ascii="Garamond" w:hAnsi="Garamond"/>
          <w:sz w:val="24"/>
          <w:szCs w:val="24"/>
          <w:lang w:val="en-US"/>
        </w:rPr>
      </w:pPr>
    </w:p>
    <w:p w:rsidR="00AB0378" w:rsidRPr="00E70413" w:rsidRDefault="00AB0378" w:rsidP="00AB0378">
      <w:pPr>
        <w:spacing w:after="0" w:line="240" w:lineRule="auto"/>
        <w:jc w:val="center"/>
        <w:rPr>
          <w:rFonts w:ascii="Garamond" w:hAnsi="Garamond"/>
          <w:sz w:val="24"/>
          <w:szCs w:val="24"/>
        </w:rPr>
      </w:pPr>
      <w:r w:rsidRPr="00E70413">
        <w:rPr>
          <w:rFonts w:ascii="Garamond" w:hAnsi="Garamond"/>
          <w:sz w:val="24"/>
          <w:szCs w:val="24"/>
        </w:rPr>
        <w:t>******</w:t>
      </w:r>
    </w:p>
    <w:p w:rsidR="00AB0378" w:rsidRPr="00E70413" w:rsidRDefault="00AB0378" w:rsidP="00AB0378">
      <w:pPr>
        <w:jc w:val="both"/>
        <w:rPr>
          <w:rFonts w:ascii="Garamond" w:hAnsi="Garamond"/>
          <w:sz w:val="24"/>
          <w:szCs w:val="24"/>
        </w:rPr>
      </w:pPr>
    </w:p>
    <w:p w:rsidR="00AB0378" w:rsidRPr="00E70413" w:rsidRDefault="00AB0378" w:rsidP="00AB0378">
      <w:pPr>
        <w:spacing w:after="284" w:line="280" w:lineRule="atLeast"/>
        <w:jc w:val="both"/>
        <w:rPr>
          <w:rFonts w:ascii="Garamond" w:eastAsia="Times New Roman" w:hAnsi="Garamond" w:cs="Arial"/>
          <w:sz w:val="20"/>
          <w:szCs w:val="20"/>
        </w:rPr>
      </w:pPr>
      <w:r w:rsidRPr="00E70413">
        <w:rPr>
          <w:rFonts w:ascii="Garamond" w:eastAsia="Times New Roman" w:hAnsi="Garamond" w:cs="Arial"/>
          <w:b/>
          <w:sz w:val="20"/>
          <w:szCs w:val="20"/>
        </w:rPr>
        <w:t>Grant Thornton</w:t>
      </w:r>
      <w:r w:rsidRPr="00E70413">
        <w:rPr>
          <w:rFonts w:ascii="Garamond" w:eastAsia="Times New Roman" w:hAnsi="Garamond" w:cs="Arial"/>
          <w:sz w:val="20"/>
          <w:szCs w:val="20"/>
        </w:rPr>
        <w:t xml:space="preserve"> to jedna z wiodących organizacji audytorsko-doradczych na świecie. Wiedza, doświadczenie i zaangażowanie ponad 3 000 partnerów oraz 42 000 pracowników Grant Thornton dostępne są dla klientów w ponad 130 krajach. W Polsce działamy od 24 lat, a 400-osobowy zespół oraz obecność w kluczowych aglomeracjach (Warszawa, Poznań, Katowice, Wrocław, Kraków i Toruń) zapewniają nam bliski kontakt z klientami oraz umożliwiają realizację wymagających projektów w obszarze usług audytorskich, doradztwa podatkowego, doradztwa gospodarczego, prawnego oraz outsourcingu rachunkowości, kadr i płac bez względu na wielkość, rodzaj i lokalizację </w:t>
      </w:r>
      <w:r w:rsidRPr="00E70413">
        <w:rPr>
          <w:rFonts w:ascii="Garamond" w:eastAsia="Times New Roman" w:hAnsi="Garamond" w:cs="Arial"/>
          <w:sz w:val="20"/>
          <w:szCs w:val="20"/>
        </w:rPr>
        <w:lastRenderedPageBreak/>
        <w:t xml:space="preserve">biznesu klienta. Klienci firmy to ponad 1000 podmiotów, w tym kilkadziesiąt spółek notowanych na GPW oraz firmy z top 500 największych przedsiębiorstw działających w naszym kraju. Grant Thornton jest wyłącznym partnerem Grant Thornton International w Polsce. Więcej informacji na </w:t>
      </w:r>
      <w:hyperlink r:id="rId12" w:history="1">
        <w:r w:rsidRPr="00E70413">
          <w:rPr>
            <w:rFonts w:ascii="Garamond" w:eastAsia="Times New Roman" w:hAnsi="Garamond" w:cs="Arial"/>
            <w:color w:val="0000FF"/>
            <w:sz w:val="20"/>
            <w:szCs w:val="20"/>
            <w:u w:val="single"/>
          </w:rPr>
          <w:t>www.grantthornton.pl</w:t>
        </w:r>
      </w:hyperlink>
      <w:r w:rsidRPr="00E70413">
        <w:rPr>
          <w:rFonts w:ascii="Garamond" w:eastAsia="Times New Roman" w:hAnsi="Garamond" w:cs="Arial"/>
          <w:sz w:val="20"/>
          <w:szCs w:val="20"/>
        </w:rPr>
        <w:t xml:space="preserve"> </w:t>
      </w:r>
    </w:p>
    <w:p w:rsidR="00327EAE" w:rsidRPr="00CB1C26" w:rsidRDefault="00AB0378" w:rsidP="00CB1C26">
      <w:pPr>
        <w:spacing w:after="284" w:line="280" w:lineRule="atLeast"/>
        <w:jc w:val="both"/>
        <w:rPr>
          <w:rFonts w:ascii="Garamond" w:eastAsia="Times New Roman" w:hAnsi="Garamond" w:cs="Arial"/>
          <w:color w:val="0000FF"/>
          <w:sz w:val="20"/>
          <w:szCs w:val="20"/>
          <w:u w:val="single"/>
        </w:rPr>
      </w:pPr>
      <w:r w:rsidRPr="00E70413">
        <w:rPr>
          <w:rFonts w:ascii="Garamond" w:eastAsia="Times New Roman" w:hAnsi="Garamond" w:cs="Arial"/>
          <w:b/>
          <w:sz w:val="20"/>
          <w:szCs w:val="20"/>
        </w:rPr>
        <w:t>Grant Thornton International Ltd</w:t>
      </w:r>
      <w:r w:rsidRPr="00E70413">
        <w:rPr>
          <w:rFonts w:ascii="Garamond" w:eastAsia="Times New Roman" w:hAnsi="Garamond" w:cs="Arial"/>
          <w:sz w:val="20"/>
          <w:szCs w:val="20"/>
        </w:rPr>
        <w:t xml:space="preserve">. (GTI) jest jedną z wiodących światowych organizacji, zrzeszającą firmy księgowe i doradcze, oferujące usługi poświadczające, doradztwa podatkowego, a także udzielające specjalistycznych porad dla przedsiębiorców prywatnych i jednostek interesu publicznego. Więcej informacji na </w:t>
      </w:r>
      <w:hyperlink r:id="rId13" w:history="1">
        <w:r w:rsidRPr="00E70413">
          <w:rPr>
            <w:rFonts w:ascii="Garamond" w:eastAsia="Times New Roman" w:hAnsi="Garamond" w:cs="Arial"/>
            <w:color w:val="0000FF"/>
            <w:sz w:val="20"/>
            <w:szCs w:val="20"/>
            <w:u w:val="single"/>
          </w:rPr>
          <w:t>www.gti.org</w:t>
        </w:r>
      </w:hyperlink>
    </w:p>
    <w:sectPr w:rsidR="00327EAE" w:rsidRPr="00CB1C26" w:rsidSect="008903FF">
      <w:footerReference w:type="default" r:id="rId14"/>
      <w:headerReference w:type="first" r:id="rId15"/>
      <w:footerReference w:type="first" r:id="rId16"/>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23" w:rsidRDefault="00376223">
      <w:pPr>
        <w:spacing w:after="0" w:line="240" w:lineRule="auto"/>
      </w:pPr>
      <w:r>
        <w:separator/>
      </w:r>
    </w:p>
  </w:endnote>
  <w:endnote w:type="continuationSeparator" w:id="0">
    <w:p w:rsidR="00376223" w:rsidRDefault="0037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NewsGotTCE">
    <w:altName w:val="Arial"/>
    <w:panose1 w:val="00000000000000000000"/>
    <w:charset w:val="EE"/>
    <w:family w:val="swiss"/>
    <w:notTrueType/>
    <w:pitch w:val="default"/>
    <w:sig w:usb0="00000001" w:usb1="00000000" w:usb2="00000000" w:usb3="00000000" w:csb0="00000003" w:csb1="00000000"/>
  </w:font>
  <w:font w:name="NewsGothicStd-Bold">
    <w:charset w:val="00"/>
    <w:family w:val="swiss"/>
    <w:pitch w:val="default"/>
  </w:font>
  <w:font w:name="NewsGothicStd">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FF" w:rsidRPr="002D7A8D" w:rsidRDefault="00452291" w:rsidP="008903FF">
    <w:pPr>
      <w:autoSpaceDE w:val="0"/>
      <w:spacing w:after="0" w:line="240" w:lineRule="auto"/>
      <w:rPr>
        <w:rFonts w:ascii="Tahoma" w:eastAsia="NewsGothicStd-Bold" w:hAnsi="Tahoma" w:cs="Tahoma"/>
        <w:b/>
        <w:bCs/>
        <w:sz w:val="13"/>
        <w:szCs w:val="13"/>
        <w:lang w:val="en-GB"/>
      </w:rPr>
    </w:pPr>
    <w:proofErr w:type="spellStart"/>
    <w:r w:rsidRPr="002D7A8D">
      <w:rPr>
        <w:rFonts w:ascii="Tahoma" w:eastAsia="NewsGothicStd-Bold" w:hAnsi="Tahoma" w:cs="Tahoma"/>
        <w:b/>
        <w:bCs/>
        <w:sz w:val="13"/>
        <w:szCs w:val="13"/>
        <w:lang w:val="en-GB"/>
      </w:rPr>
      <w:t>Audyt</w:t>
    </w:r>
    <w:proofErr w:type="spellEnd"/>
    <w:r w:rsidRPr="002D7A8D">
      <w:rPr>
        <w:rFonts w:ascii="Tahoma" w:eastAsia="NewsGothicStd-Bold" w:hAnsi="Tahoma" w:cs="Tahoma"/>
        <w:b/>
        <w:bCs/>
        <w:sz w:val="13"/>
        <w:szCs w:val="13"/>
        <w:lang w:val="en-GB"/>
      </w:rPr>
      <w:t xml:space="preserve"> – </w:t>
    </w:r>
    <w:proofErr w:type="spellStart"/>
    <w:r w:rsidRPr="002D7A8D">
      <w:rPr>
        <w:rFonts w:ascii="Tahoma" w:eastAsia="NewsGothicStd-Bold" w:hAnsi="Tahoma" w:cs="Tahoma"/>
        <w:b/>
        <w:bCs/>
        <w:sz w:val="13"/>
        <w:szCs w:val="13"/>
        <w:lang w:val="en-GB"/>
      </w:rPr>
      <w:t>Podatki</w:t>
    </w:r>
    <w:proofErr w:type="spellEnd"/>
    <w:r w:rsidRPr="002D7A8D">
      <w:rPr>
        <w:rFonts w:ascii="Tahoma" w:eastAsia="NewsGothicStd-Bold" w:hAnsi="Tahoma" w:cs="Tahoma"/>
        <w:b/>
        <w:bCs/>
        <w:sz w:val="13"/>
        <w:szCs w:val="13"/>
        <w:lang w:val="en-GB"/>
      </w:rPr>
      <w:t xml:space="preserve"> – </w:t>
    </w:r>
    <w:proofErr w:type="spellStart"/>
    <w:r w:rsidRPr="002D7A8D">
      <w:rPr>
        <w:rFonts w:ascii="Tahoma" w:eastAsia="NewsGothicStd-Bold" w:hAnsi="Tahoma" w:cs="Tahoma"/>
        <w:b/>
        <w:bCs/>
        <w:sz w:val="13"/>
        <w:szCs w:val="13"/>
        <w:lang w:val="en-GB"/>
      </w:rPr>
      <w:t>Doradztwo</w:t>
    </w:r>
    <w:proofErr w:type="spellEnd"/>
    <w:r w:rsidRPr="002D7A8D">
      <w:rPr>
        <w:rFonts w:ascii="Tahoma" w:eastAsia="NewsGothicStd-Bold" w:hAnsi="Tahoma" w:cs="Tahoma"/>
        <w:b/>
        <w:bCs/>
        <w:sz w:val="13"/>
        <w:szCs w:val="13"/>
        <w:lang w:val="en-GB"/>
      </w:rPr>
      <w:t xml:space="preserve"> - Outsourcing</w:t>
    </w:r>
  </w:p>
  <w:p w:rsidR="008903FF" w:rsidRPr="002D7A8D" w:rsidRDefault="00452291" w:rsidP="008903FF">
    <w:pPr>
      <w:tabs>
        <w:tab w:val="left" w:pos="3247"/>
      </w:tabs>
      <w:autoSpaceDE w:val="0"/>
      <w:spacing w:after="0" w:line="240" w:lineRule="auto"/>
      <w:rPr>
        <w:rFonts w:ascii="Tahoma" w:eastAsia="NewsGothicStd" w:hAnsi="Tahoma" w:cs="Tahoma"/>
        <w:sz w:val="13"/>
        <w:szCs w:val="13"/>
        <w:lang w:val="en-GB"/>
      </w:rPr>
    </w:pPr>
    <w:r w:rsidRPr="002D7A8D">
      <w:rPr>
        <w:rFonts w:ascii="Tahoma" w:eastAsia="NewsGothicStd" w:hAnsi="Tahoma" w:cs="Tahoma"/>
        <w:sz w:val="13"/>
        <w:szCs w:val="13"/>
        <w:lang w:val="en-GB"/>
      </w:rPr>
      <w:t>Member of Grant Thornton International Ltd</w:t>
    </w:r>
    <w:r w:rsidRPr="002D7A8D">
      <w:rPr>
        <w:rFonts w:ascii="Tahoma" w:eastAsia="NewsGothicStd" w:hAnsi="Tahoma" w:cs="Tahoma"/>
        <w:sz w:val="13"/>
        <w:szCs w:val="13"/>
        <w:lang w:val="en-GB"/>
      </w:rPr>
      <w:tab/>
    </w:r>
  </w:p>
  <w:p w:rsidR="008903FF" w:rsidRPr="002D7A8D" w:rsidRDefault="008903FF" w:rsidP="008903FF">
    <w:pPr>
      <w:autoSpaceDE w:val="0"/>
      <w:spacing w:after="0" w:line="240" w:lineRule="auto"/>
      <w:rPr>
        <w:rFonts w:ascii="Tahoma" w:eastAsia="NewsGothicStd" w:hAnsi="Tahoma" w:cs="Tahoma"/>
        <w:sz w:val="13"/>
        <w:szCs w:val="13"/>
        <w:lang w:val="en-GB"/>
      </w:rPr>
    </w:pPr>
  </w:p>
  <w:p w:rsidR="008903FF" w:rsidRPr="002D7A8D" w:rsidRDefault="00452291" w:rsidP="008903FF">
    <w:pPr>
      <w:autoSpaceDE w:val="0"/>
      <w:spacing w:after="0" w:line="240" w:lineRule="auto"/>
      <w:rPr>
        <w:rFonts w:ascii="Tahoma" w:eastAsia="NewsGothicStd" w:hAnsi="Tahoma" w:cs="Tahoma"/>
        <w:sz w:val="11"/>
        <w:szCs w:val="11"/>
      </w:rPr>
    </w:pPr>
    <w:r w:rsidRPr="002D7A8D">
      <w:rPr>
        <w:rFonts w:ascii="Tahoma" w:eastAsia="NewsGothicStd" w:hAnsi="Tahoma" w:cs="Tahoma"/>
        <w:sz w:val="11"/>
        <w:szCs w:val="11"/>
      </w:rPr>
      <w:t>Podmiot uprawniony do badania sprawozdań finansowych  nr 238. Zarząd Spółki: Cecylia Pol – Prezes, Tomasz Wróblewski – Wiceprezes.</w:t>
    </w:r>
  </w:p>
  <w:p w:rsidR="008903FF" w:rsidRPr="002D7A8D" w:rsidRDefault="00452291" w:rsidP="008903FF">
    <w:pPr>
      <w:spacing w:after="0" w:line="140" w:lineRule="atLeast"/>
      <w:rPr>
        <w:rFonts w:ascii="Tahoma" w:eastAsia="NewsGothicStd" w:hAnsi="Tahoma" w:cs="Tahoma"/>
        <w:sz w:val="11"/>
        <w:szCs w:val="11"/>
      </w:rPr>
    </w:pPr>
    <w:r w:rsidRPr="002D7A8D">
      <w:rPr>
        <w:rFonts w:ascii="Tahoma" w:eastAsia="NewsGothicStd" w:hAnsi="Tahoma" w:cs="Tahoma"/>
        <w:sz w:val="11"/>
        <w:szCs w:val="11"/>
      </w:rPr>
      <w:t>Adres siedziby: 61-831 Poznań, pl. Wiosny Ludów 2. NIP: 778-01-62-560, REGON: 632474183, rachunek bankowy: 18 1750 1019 0000 0000 0098 2229.</w:t>
    </w:r>
  </w:p>
  <w:p w:rsidR="008903FF" w:rsidRPr="002D7A8D" w:rsidRDefault="00452291" w:rsidP="008903FF">
    <w:pPr>
      <w:spacing w:after="0" w:line="140" w:lineRule="atLeast"/>
      <w:rPr>
        <w:rFonts w:ascii="Tahoma" w:eastAsia="Times New Roman" w:hAnsi="Tahoma" w:cs="Tahoma"/>
        <w:sz w:val="11"/>
        <w:szCs w:val="11"/>
      </w:rPr>
    </w:pPr>
    <w:r w:rsidRPr="002D7A8D">
      <w:rPr>
        <w:rFonts w:ascii="Tahoma" w:eastAsia="NewsGothicStd" w:hAnsi="Tahoma" w:cs="Tahoma"/>
        <w:sz w:val="11"/>
        <w:szCs w:val="11"/>
      </w:rPr>
      <w:t>Kapitał Zakładowy 497 400 PLN. Sąd rejonowy  Poznań – Nowe Miasto i Wilda w Poznaniu, VIII Wydział Gospodarczy, nr KRS 0000006705.</w:t>
    </w:r>
    <w:r>
      <w:rPr>
        <w:noProof/>
        <w:lang w:eastAsia="pl-PL"/>
      </w:rPr>
      <mc:AlternateContent>
        <mc:Choice Requires="wps">
          <w:drawing>
            <wp:anchor distT="0" distB="0" distL="114300" distR="114300" simplePos="0" relativeHeight="251660288" behindDoc="1" locked="0" layoutInCell="1" allowOverlap="1" wp14:anchorId="2618A0C8" wp14:editId="19DCD401">
              <wp:simplePos x="0" y="0"/>
              <wp:positionH relativeFrom="page">
                <wp:posOffset>215900</wp:posOffset>
              </wp:positionH>
              <wp:positionV relativeFrom="page">
                <wp:posOffset>7237095</wp:posOffset>
              </wp:positionV>
              <wp:extent cx="1029335" cy="3239770"/>
              <wp:effectExtent l="0" t="0" r="18415" b="1778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23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22" w:type="dxa"/>
                            <w:tblLayout w:type="fixed"/>
                            <w:tblCellMar>
                              <w:left w:w="0" w:type="dxa"/>
                              <w:right w:w="0" w:type="dxa"/>
                            </w:tblCellMar>
                            <w:tblLook w:val="01E0" w:firstRow="1" w:lastRow="1" w:firstColumn="1" w:lastColumn="1" w:noHBand="0" w:noVBand="0"/>
                          </w:tblPr>
                          <w:tblGrid>
                            <w:gridCol w:w="1622"/>
                          </w:tblGrid>
                          <w:tr w:rsidR="008903FF" w:rsidRPr="00B96819" w:rsidTr="008903FF">
                            <w:trPr>
                              <w:trHeight w:hRule="exact" w:val="5103"/>
                            </w:trPr>
                            <w:tc>
                              <w:tcPr>
                                <w:tcW w:w="1621" w:type="dxa"/>
                                <w:shd w:val="clear" w:color="auto" w:fill="auto"/>
                                <w:vAlign w:val="bottom"/>
                              </w:tcPr>
                              <w:p w:rsidR="008903FF" w:rsidRPr="0069090D" w:rsidRDefault="008903FF" w:rsidP="008903FF">
                                <w:pPr>
                                  <w:pStyle w:val="LetterFooter"/>
                                </w:pPr>
                              </w:p>
                            </w:tc>
                          </w:tr>
                        </w:tbl>
                        <w:p w:rsidR="008903FF" w:rsidRDefault="008903FF" w:rsidP="0089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17pt;margin-top:569.85pt;width:81.05pt;height:25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SwtQIAAK8FAAAOAAAAZHJzL2Uyb0RvYy54bWysVG1vmzAQ/j5p/8Hyd8pLCAmopGpDmCZ1&#10;W6VuP8ABE6yCzWwn0E377zubkDTtl2kbH6zDPj93z93ju74Z2gYdqFRM8BT7Vx5GlBeiZHyX4m9f&#10;c2eJkdKEl6QRnKb4mSp8s3r/7rrvEhqIWjQllQhAuEr6LsW11l3iuqqoaUvUlegoh8NKyJZo+JU7&#10;t5SkB/S2cQPPi9xeyLKToqBKwW42HuKVxa8qWugvVaWoRk2KITdtV2nXrVnd1TVJdpJ0NSuOaZC/&#10;yKIljEPQE1RGNEF7yd5AtayQQolKXxWidUVVsYJaDsDG916xeaxJRy0XKI7qTmVS/w+2+Hx4kIiV&#10;KY4w4qSFFj2IhiJNn5QWPUWRKVHfqQQ8Hzvw1cOdGKDVlq7q7kXxpBAX65rwHb2VUvQ1JSWk6Jub&#10;7ourI44yINv+kyghFtlrYYGGSramflARBOjQqudTe+igUWFCekE8m80xKuBsFszixcI20CXJdL2T&#10;Sn+gokXGSLGE/lt4crhX2qRDksnFROMiZ01jNdDwiw1wHHcgOFw1ZyYN29KfsRdvlptl6IRBtHFC&#10;L8uc23wdOlHuL+bZLFuvM/+XieuHSc3KknITZpKXH/5Z+45CH4VxEpgSDSsNnElJyd123Uh0ICDv&#10;3H626HBydnMv07BFAC6vKPlB6N0FsZNHy4UT5uHciRfe0vH8+C6OvDAOs/yS0j3j9N8poT7F8TyY&#10;j2o6J/2Km2e/t9xI0jINA6RhbYqXJyeSGA1ueGlbqwlrRvtFKUz651JAu6dGW8UakY5y1cN2ABQj&#10;460on0G7UoCyQKAw9cCohfyBUQ8TJMXq+55IilHzkYP+zbiZDDkZ28kgvICrKdYYjeZaj2Np30m2&#10;qwF5fGFc3MIbqZhV7zmL48uCqWBJHCeYGTsv/63Xec6ufgMAAP//AwBQSwMEFAAGAAgAAAAhAAvU&#10;7KbhAAAADAEAAA8AAABkcnMvZG93bnJldi54bWxMj8FOwzAQRO9I/IO1SNyoE1oFnMapKgQnJEQa&#10;Dj06sZtYjdchdtvw92xPcNvdGc2+KTazG9jZTMF6lJAuEmAGW68tdhK+6reHZ2AhKtRq8Ggk/JgA&#10;m/L2plC59heszHkXO0YhGHIloY9xzDkPbW+cCgs/GiTt4CenIq1Tx/WkLhTuBv6YJBl3yiJ96NVo&#10;XnrTHncnJ2G7x+rVfn80n9WhsnUtEnzPjlLe383bNbBo5vhnhis+oUNJTI0/oQ5skLBcUZVI93Qp&#10;noBdHSJLgTU0ZCshgJcF/1+i/AUAAP//AwBQSwECLQAUAAYACAAAACEAtoM4kv4AAADhAQAAEwAA&#10;AAAAAAAAAAAAAAAAAAAAW0NvbnRlbnRfVHlwZXNdLnhtbFBLAQItABQABgAIAAAAIQA4/SH/1gAA&#10;AJQBAAALAAAAAAAAAAAAAAAAAC8BAABfcmVscy8ucmVsc1BLAQItABQABgAIAAAAIQDI1GSwtQIA&#10;AK8FAAAOAAAAAAAAAAAAAAAAAC4CAABkcnMvZTJvRG9jLnhtbFBLAQItABQABgAIAAAAIQAL1Oym&#10;4QAAAAwBAAAPAAAAAAAAAAAAAAAAAA8FAABkcnMvZG93bnJldi54bWxQSwUGAAAAAAQABADzAAAA&#10;HQYAAAAA&#10;" filled="f" stroked="f">
              <v:textbox inset="0,0,0,0">
                <w:txbxContent>
                  <w:tbl>
                    <w:tblPr>
                      <w:tblW w:w="1622" w:type="dxa"/>
                      <w:tblLayout w:type="fixed"/>
                      <w:tblCellMar>
                        <w:left w:w="0" w:type="dxa"/>
                        <w:right w:w="0" w:type="dxa"/>
                      </w:tblCellMar>
                      <w:tblLook w:val="01E0" w:firstRow="1" w:lastRow="1" w:firstColumn="1" w:lastColumn="1" w:noHBand="0" w:noVBand="0"/>
                    </w:tblPr>
                    <w:tblGrid>
                      <w:gridCol w:w="1622"/>
                    </w:tblGrid>
                    <w:tr w:rsidR="008903FF" w:rsidRPr="00B96819" w:rsidTr="008903FF">
                      <w:trPr>
                        <w:trHeight w:hRule="exact" w:val="5103"/>
                      </w:trPr>
                      <w:tc>
                        <w:tcPr>
                          <w:tcW w:w="1621" w:type="dxa"/>
                          <w:shd w:val="clear" w:color="auto" w:fill="auto"/>
                          <w:vAlign w:val="bottom"/>
                        </w:tcPr>
                        <w:p w:rsidR="008903FF" w:rsidRPr="0069090D" w:rsidRDefault="008903FF" w:rsidP="008903FF">
                          <w:pPr>
                            <w:pStyle w:val="LetterFooter"/>
                          </w:pPr>
                        </w:p>
                      </w:tc>
                    </w:tr>
                  </w:tbl>
                  <w:p w:rsidR="008903FF" w:rsidRDefault="008903FF" w:rsidP="008903FF"/>
                </w:txbxContent>
              </v:textbox>
              <w10:wrap anchorx="page" anchory="page"/>
            </v:shape>
          </w:pict>
        </mc:Fallback>
      </mc:AlternateContent>
    </w:r>
  </w:p>
  <w:p w:rsidR="008903FF" w:rsidRDefault="008903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FF" w:rsidRDefault="008903FF" w:rsidP="008903FF">
    <w:pPr>
      <w:autoSpaceDE w:val="0"/>
      <w:spacing w:after="0" w:line="240" w:lineRule="auto"/>
      <w:rPr>
        <w:rFonts w:ascii="Tahoma" w:eastAsia="NewsGothicStd-Bold" w:hAnsi="Tahoma" w:cs="Tahoma"/>
        <w:b/>
        <w:bCs/>
        <w:sz w:val="13"/>
        <w:szCs w:val="13"/>
        <w:lang w:val="en-GB"/>
      </w:rPr>
    </w:pPr>
  </w:p>
  <w:p w:rsidR="008903FF" w:rsidRPr="002D7A8D" w:rsidRDefault="00452291" w:rsidP="008903FF">
    <w:pPr>
      <w:autoSpaceDE w:val="0"/>
      <w:spacing w:after="0" w:line="240" w:lineRule="auto"/>
      <w:rPr>
        <w:rFonts w:ascii="Tahoma" w:eastAsia="NewsGothicStd-Bold" w:hAnsi="Tahoma" w:cs="Tahoma"/>
        <w:b/>
        <w:bCs/>
        <w:sz w:val="13"/>
        <w:szCs w:val="13"/>
        <w:lang w:val="en-GB"/>
      </w:rPr>
    </w:pPr>
    <w:proofErr w:type="spellStart"/>
    <w:r w:rsidRPr="002D7A8D">
      <w:rPr>
        <w:rFonts w:ascii="Tahoma" w:eastAsia="NewsGothicStd-Bold" w:hAnsi="Tahoma" w:cs="Tahoma"/>
        <w:b/>
        <w:bCs/>
        <w:sz w:val="13"/>
        <w:szCs w:val="13"/>
        <w:lang w:val="en-GB"/>
      </w:rPr>
      <w:t>Audyt</w:t>
    </w:r>
    <w:proofErr w:type="spellEnd"/>
    <w:r w:rsidRPr="002D7A8D">
      <w:rPr>
        <w:rFonts w:ascii="Tahoma" w:eastAsia="NewsGothicStd-Bold" w:hAnsi="Tahoma" w:cs="Tahoma"/>
        <w:b/>
        <w:bCs/>
        <w:sz w:val="13"/>
        <w:szCs w:val="13"/>
        <w:lang w:val="en-GB"/>
      </w:rPr>
      <w:t xml:space="preserve"> – </w:t>
    </w:r>
    <w:proofErr w:type="spellStart"/>
    <w:r w:rsidRPr="002D7A8D">
      <w:rPr>
        <w:rFonts w:ascii="Tahoma" w:eastAsia="NewsGothicStd-Bold" w:hAnsi="Tahoma" w:cs="Tahoma"/>
        <w:b/>
        <w:bCs/>
        <w:sz w:val="13"/>
        <w:szCs w:val="13"/>
        <w:lang w:val="en-GB"/>
      </w:rPr>
      <w:t>Podatki</w:t>
    </w:r>
    <w:proofErr w:type="spellEnd"/>
    <w:r w:rsidRPr="002D7A8D">
      <w:rPr>
        <w:rFonts w:ascii="Tahoma" w:eastAsia="NewsGothicStd-Bold" w:hAnsi="Tahoma" w:cs="Tahoma"/>
        <w:b/>
        <w:bCs/>
        <w:sz w:val="13"/>
        <w:szCs w:val="13"/>
        <w:lang w:val="en-GB"/>
      </w:rPr>
      <w:t xml:space="preserve"> – </w:t>
    </w:r>
    <w:proofErr w:type="spellStart"/>
    <w:r w:rsidRPr="002D7A8D">
      <w:rPr>
        <w:rFonts w:ascii="Tahoma" w:eastAsia="NewsGothicStd-Bold" w:hAnsi="Tahoma" w:cs="Tahoma"/>
        <w:b/>
        <w:bCs/>
        <w:sz w:val="13"/>
        <w:szCs w:val="13"/>
        <w:lang w:val="en-GB"/>
      </w:rPr>
      <w:t>Doradztwo</w:t>
    </w:r>
    <w:proofErr w:type="spellEnd"/>
    <w:r w:rsidRPr="002D7A8D">
      <w:rPr>
        <w:rFonts w:ascii="Tahoma" w:eastAsia="NewsGothicStd-Bold" w:hAnsi="Tahoma" w:cs="Tahoma"/>
        <w:b/>
        <w:bCs/>
        <w:sz w:val="13"/>
        <w:szCs w:val="13"/>
        <w:lang w:val="en-GB"/>
      </w:rPr>
      <w:t xml:space="preserve"> - Outsourcing</w:t>
    </w:r>
  </w:p>
  <w:p w:rsidR="008903FF" w:rsidRPr="002D7A8D" w:rsidRDefault="00452291" w:rsidP="008903FF">
    <w:pPr>
      <w:tabs>
        <w:tab w:val="left" w:pos="3247"/>
      </w:tabs>
      <w:autoSpaceDE w:val="0"/>
      <w:spacing w:after="0" w:line="240" w:lineRule="auto"/>
      <w:rPr>
        <w:rFonts w:ascii="Tahoma" w:eastAsia="NewsGothicStd" w:hAnsi="Tahoma" w:cs="Tahoma"/>
        <w:sz w:val="13"/>
        <w:szCs w:val="13"/>
        <w:lang w:val="en-GB"/>
      </w:rPr>
    </w:pPr>
    <w:r w:rsidRPr="002D7A8D">
      <w:rPr>
        <w:rFonts w:ascii="Tahoma" w:eastAsia="NewsGothicStd" w:hAnsi="Tahoma" w:cs="Tahoma"/>
        <w:sz w:val="13"/>
        <w:szCs w:val="13"/>
        <w:lang w:val="en-GB"/>
      </w:rPr>
      <w:t>Member of Grant Thornton International Ltd</w:t>
    </w:r>
    <w:r w:rsidRPr="002D7A8D">
      <w:rPr>
        <w:rFonts w:ascii="Tahoma" w:eastAsia="NewsGothicStd" w:hAnsi="Tahoma" w:cs="Tahoma"/>
        <w:sz w:val="13"/>
        <w:szCs w:val="13"/>
        <w:lang w:val="en-GB"/>
      </w:rPr>
      <w:tab/>
    </w:r>
  </w:p>
  <w:p w:rsidR="008903FF" w:rsidRPr="002D7A8D" w:rsidRDefault="008903FF" w:rsidP="008903FF">
    <w:pPr>
      <w:autoSpaceDE w:val="0"/>
      <w:spacing w:after="0" w:line="240" w:lineRule="auto"/>
      <w:rPr>
        <w:rFonts w:ascii="Tahoma" w:eastAsia="NewsGothicStd" w:hAnsi="Tahoma" w:cs="Tahoma"/>
        <w:sz w:val="13"/>
        <w:szCs w:val="13"/>
        <w:lang w:val="en-GB"/>
      </w:rPr>
    </w:pPr>
  </w:p>
  <w:p w:rsidR="008903FF" w:rsidRPr="002D7A8D" w:rsidRDefault="00452291" w:rsidP="008903FF">
    <w:pPr>
      <w:autoSpaceDE w:val="0"/>
      <w:spacing w:after="0" w:line="240" w:lineRule="auto"/>
      <w:rPr>
        <w:rFonts w:ascii="Tahoma" w:eastAsia="NewsGothicStd" w:hAnsi="Tahoma" w:cs="Tahoma"/>
        <w:sz w:val="11"/>
        <w:szCs w:val="11"/>
      </w:rPr>
    </w:pPr>
    <w:r w:rsidRPr="002D7A8D">
      <w:rPr>
        <w:rFonts w:ascii="Tahoma" w:eastAsia="NewsGothicStd" w:hAnsi="Tahoma" w:cs="Tahoma"/>
        <w:sz w:val="11"/>
        <w:szCs w:val="11"/>
      </w:rPr>
      <w:t>Podmiot uprawniony do badania sprawozdań finansowych  nr 238. Zarząd Spółki: Cecylia Pol – Prezes, Tomasz Wróblewski – Wiceprezes.</w:t>
    </w:r>
  </w:p>
  <w:p w:rsidR="008903FF" w:rsidRPr="002D7A8D" w:rsidRDefault="00452291" w:rsidP="008903FF">
    <w:pPr>
      <w:spacing w:after="0" w:line="140" w:lineRule="atLeast"/>
      <w:rPr>
        <w:rFonts w:ascii="Tahoma" w:eastAsia="NewsGothicStd" w:hAnsi="Tahoma" w:cs="Tahoma"/>
        <w:sz w:val="11"/>
        <w:szCs w:val="11"/>
      </w:rPr>
    </w:pPr>
    <w:r w:rsidRPr="002D7A8D">
      <w:rPr>
        <w:rFonts w:ascii="Tahoma" w:eastAsia="NewsGothicStd" w:hAnsi="Tahoma" w:cs="Tahoma"/>
        <w:sz w:val="11"/>
        <w:szCs w:val="11"/>
      </w:rPr>
      <w:t>Adres siedziby: 61-831 Poznań, pl. Wiosny Ludów 2. NIP: 778-01-62-560, REGON: 632474183, rachunek bankowy: 18 1750 1019 0000 0000 0098 2229.</w:t>
    </w:r>
  </w:p>
  <w:p w:rsidR="008903FF" w:rsidRPr="002D7A8D" w:rsidRDefault="00452291" w:rsidP="008903FF">
    <w:pPr>
      <w:spacing w:after="0" w:line="140" w:lineRule="atLeast"/>
      <w:rPr>
        <w:rFonts w:ascii="Tahoma" w:eastAsia="Times New Roman" w:hAnsi="Tahoma" w:cs="Tahoma"/>
        <w:sz w:val="11"/>
        <w:szCs w:val="11"/>
      </w:rPr>
    </w:pPr>
    <w:r w:rsidRPr="002D7A8D">
      <w:rPr>
        <w:rFonts w:ascii="Tahoma" w:eastAsia="NewsGothicStd" w:hAnsi="Tahoma" w:cs="Tahoma"/>
        <w:sz w:val="11"/>
        <w:szCs w:val="11"/>
      </w:rPr>
      <w:t>Kapitał Zakładowy 497 400 PLN. Sąd rejonowy  Poznań – Nowe Miasto i Wilda w Poznaniu, VIII Wydział Gospodarczy, nr KRS 0000006705.</w:t>
    </w:r>
    <w:r>
      <w:rPr>
        <w:noProof/>
        <w:lang w:eastAsia="pl-PL"/>
      </w:rPr>
      <mc:AlternateContent>
        <mc:Choice Requires="wps">
          <w:drawing>
            <wp:anchor distT="0" distB="0" distL="114300" distR="114300" simplePos="0" relativeHeight="251659264" behindDoc="1" locked="0" layoutInCell="1" allowOverlap="1" wp14:anchorId="76E77646" wp14:editId="28B144DB">
              <wp:simplePos x="0" y="0"/>
              <wp:positionH relativeFrom="page">
                <wp:posOffset>215900</wp:posOffset>
              </wp:positionH>
              <wp:positionV relativeFrom="page">
                <wp:posOffset>7237095</wp:posOffset>
              </wp:positionV>
              <wp:extent cx="1029335" cy="3239770"/>
              <wp:effectExtent l="0" t="0" r="18415" b="177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23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22" w:type="dxa"/>
                            <w:tblLayout w:type="fixed"/>
                            <w:tblCellMar>
                              <w:left w:w="0" w:type="dxa"/>
                              <w:right w:w="0" w:type="dxa"/>
                            </w:tblCellMar>
                            <w:tblLook w:val="01E0" w:firstRow="1" w:lastRow="1" w:firstColumn="1" w:lastColumn="1" w:noHBand="0" w:noVBand="0"/>
                          </w:tblPr>
                          <w:tblGrid>
                            <w:gridCol w:w="1622"/>
                          </w:tblGrid>
                          <w:tr w:rsidR="008903FF" w:rsidRPr="00B96819" w:rsidTr="008903FF">
                            <w:trPr>
                              <w:trHeight w:hRule="exact" w:val="5103"/>
                            </w:trPr>
                            <w:tc>
                              <w:tcPr>
                                <w:tcW w:w="1621" w:type="dxa"/>
                                <w:shd w:val="clear" w:color="auto" w:fill="auto"/>
                                <w:vAlign w:val="bottom"/>
                              </w:tcPr>
                              <w:p w:rsidR="008903FF" w:rsidRPr="0069090D" w:rsidRDefault="008903FF" w:rsidP="008903FF">
                                <w:pPr>
                                  <w:pStyle w:val="LetterFooter"/>
                                </w:pPr>
                              </w:p>
                            </w:tc>
                          </w:tr>
                        </w:tbl>
                        <w:p w:rsidR="008903FF" w:rsidRDefault="008903FF" w:rsidP="0089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7" type="#_x0000_t202" style="position:absolute;margin-left:17pt;margin-top:569.85pt;width:81.05pt;height:25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FduAIAALY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mOMBGmhRQ+SU2Tokzaypyi2Jeo7nYLnYwe+5nAnD9BqR1d397J80kjIVUPElt4qJfuGkgpSDO1N&#10;/8XVAUdbkE3/SVYQi+yMdECHWrW2flARBOjQqudTe+jBoNKGDKJkMpliVMLZJJok87lroE/S8Xqn&#10;tPlAZYuskWEF/XfwZH+vjU2HpKOLjSZkwTh3GuDiYgMchx0IDlftmU3DtfRnEiTrxXoRe3E0W3tx&#10;kOfebbGKvVkRzqf5JF+t8vCXjRvGacOqigobZpRXGP9Z+45CH4RxEpiWnFUWzqak1Xaz4grtCci7&#10;cJ8rOpyc3fzLNFwRgMsrSmEUB3dR4hWzxdyLi3jqJfNg4QVhcpfMgjiJ8+KS0j0T9N8poT7DyTSa&#10;Dmo6J/2KW+C+t9xI2jIDA4SzNsOLkxNJrQbXonKtNYTxwX5RCpv+uRTQ7rHRTrFWpINczWFzcO/D&#10;ydmqeSOrZ5CwkiAw0CkMPzAaqX5g1MMgybD+viOKYsQ/CngGduqMhhqNzWgQUcLVDBuMBnNlhum0&#10;6xTbNoA8PDQhb+Gp1MyJ+JzF8YHBcHBcjoPMTp+X/87rPG6XvwEAAP//AwBQSwMEFAAGAAgAAAAh&#10;AAvU7KbhAAAADAEAAA8AAABkcnMvZG93bnJldi54bWxMj8FOwzAQRO9I/IO1SNyoE1oFnMapKgQn&#10;JEQaDj06sZtYjdchdtvw92xPcNvdGc2+KTazG9jZTMF6lJAuEmAGW68tdhK+6reHZ2AhKtRq8Ggk&#10;/JgAm/L2plC59heszHkXO0YhGHIloY9xzDkPbW+cCgs/GiTt4CenIq1Tx/WkLhTuBv6YJBl3yiJ9&#10;6NVoXnrTHncnJ2G7x+rVfn80n9WhsnUtEnzPjlLe383bNbBo5vhnhis+oUNJTI0/oQ5skLBcUZVI&#10;93QpnoBdHSJLgTU0ZCshgJcF/1+i/AUAAP//AwBQSwECLQAUAAYACAAAACEAtoM4kv4AAADhAQAA&#10;EwAAAAAAAAAAAAAAAAAAAAAAW0NvbnRlbnRfVHlwZXNdLnhtbFBLAQItABQABgAIAAAAIQA4/SH/&#10;1gAAAJQBAAALAAAAAAAAAAAAAAAAAC8BAABfcmVscy8ucmVsc1BLAQItABQABgAIAAAAIQDdpDFd&#10;uAIAALYFAAAOAAAAAAAAAAAAAAAAAC4CAABkcnMvZTJvRG9jLnhtbFBLAQItABQABgAIAAAAIQAL&#10;1Oym4QAAAAwBAAAPAAAAAAAAAAAAAAAAABIFAABkcnMvZG93bnJldi54bWxQSwUGAAAAAAQABADz&#10;AAAAIAYAAAAA&#10;" filled="f" stroked="f">
              <v:textbox inset="0,0,0,0">
                <w:txbxContent>
                  <w:tbl>
                    <w:tblPr>
                      <w:tblW w:w="1622" w:type="dxa"/>
                      <w:tblLayout w:type="fixed"/>
                      <w:tblCellMar>
                        <w:left w:w="0" w:type="dxa"/>
                        <w:right w:w="0" w:type="dxa"/>
                      </w:tblCellMar>
                      <w:tblLook w:val="01E0" w:firstRow="1" w:lastRow="1" w:firstColumn="1" w:lastColumn="1" w:noHBand="0" w:noVBand="0"/>
                    </w:tblPr>
                    <w:tblGrid>
                      <w:gridCol w:w="1622"/>
                    </w:tblGrid>
                    <w:tr w:rsidR="008903FF" w:rsidRPr="00B96819" w:rsidTr="008903FF">
                      <w:trPr>
                        <w:trHeight w:hRule="exact" w:val="5103"/>
                      </w:trPr>
                      <w:tc>
                        <w:tcPr>
                          <w:tcW w:w="1621" w:type="dxa"/>
                          <w:shd w:val="clear" w:color="auto" w:fill="auto"/>
                          <w:vAlign w:val="bottom"/>
                        </w:tcPr>
                        <w:p w:rsidR="008903FF" w:rsidRPr="0069090D" w:rsidRDefault="008903FF" w:rsidP="008903FF">
                          <w:pPr>
                            <w:pStyle w:val="LetterFooter"/>
                          </w:pPr>
                        </w:p>
                      </w:tc>
                    </w:tr>
                  </w:tbl>
                  <w:p w:rsidR="008903FF" w:rsidRDefault="008903FF" w:rsidP="008903FF"/>
                </w:txbxContent>
              </v:textbox>
              <w10:wrap anchorx="page" anchory="page"/>
            </v:shape>
          </w:pict>
        </mc:Fallback>
      </mc:AlternateContent>
    </w:r>
  </w:p>
  <w:p w:rsidR="008903FF" w:rsidRDefault="008903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23" w:rsidRDefault="00376223">
      <w:pPr>
        <w:spacing w:after="0" w:line="240" w:lineRule="auto"/>
      </w:pPr>
      <w:r>
        <w:separator/>
      </w:r>
    </w:p>
  </w:footnote>
  <w:footnote w:type="continuationSeparator" w:id="0">
    <w:p w:rsidR="00376223" w:rsidRDefault="00376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FF" w:rsidRDefault="00452291">
    <w:pPr>
      <w:pStyle w:val="Nagwek"/>
    </w:pPr>
    <w:r>
      <w:rPr>
        <w:noProof/>
        <w:lang w:eastAsia="pl-PL"/>
      </w:rPr>
      <w:drawing>
        <wp:anchor distT="0" distB="0" distL="114300" distR="114300" simplePos="0" relativeHeight="251661312" behindDoc="1" locked="0" layoutInCell="1" allowOverlap="1" wp14:anchorId="402625CB" wp14:editId="1284AF05">
          <wp:simplePos x="0" y="0"/>
          <wp:positionH relativeFrom="column">
            <wp:posOffset>-604520</wp:posOffset>
          </wp:positionH>
          <wp:positionV relativeFrom="paragraph">
            <wp:posOffset>-107315</wp:posOffset>
          </wp:positionV>
          <wp:extent cx="3101340" cy="1409700"/>
          <wp:effectExtent l="0" t="0" r="3810" b="0"/>
          <wp:wrapTight wrapText="bothSides">
            <wp:wrapPolygon edited="0">
              <wp:start x="0" y="0"/>
              <wp:lineTo x="0" y="21308"/>
              <wp:lineTo x="21494" y="21308"/>
              <wp:lineTo x="21494"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02629"/>
    <w:multiLevelType w:val="hybridMultilevel"/>
    <w:tmpl w:val="43B4C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78"/>
    <w:rsid w:val="000279ED"/>
    <w:rsid w:val="000619AB"/>
    <w:rsid w:val="00074079"/>
    <w:rsid w:val="001516BD"/>
    <w:rsid w:val="001A1844"/>
    <w:rsid w:val="00215B0F"/>
    <w:rsid w:val="002671C8"/>
    <w:rsid w:val="002853AB"/>
    <w:rsid w:val="002D1E12"/>
    <w:rsid w:val="00305ADF"/>
    <w:rsid w:val="00327EAE"/>
    <w:rsid w:val="00332DC7"/>
    <w:rsid w:val="0034527C"/>
    <w:rsid w:val="00376223"/>
    <w:rsid w:val="00452291"/>
    <w:rsid w:val="00453838"/>
    <w:rsid w:val="004E6FF1"/>
    <w:rsid w:val="00504539"/>
    <w:rsid w:val="00526557"/>
    <w:rsid w:val="00575744"/>
    <w:rsid w:val="005B25B7"/>
    <w:rsid w:val="006A5137"/>
    <w:rsid w:val="0073642C"/>
    <w:rsid w:val="007D1E42"/>
    <w:rsid w:val="008204D1"/>
    <w:rsid w:val="008903FF"/>
    <w:rsid w:val="00897D7E"/>
    <w:rsid w:val="008A4F4E"/>
    <w:rsid w:val="008A6C91"/>
    <w:rsid w:val="00925FBD"/>
    <w:rsid w:val="009626D7"/>
    <w:rsid w:val="009B3F5A"/>
    <w:rsid w:val="00A23D18"/>
    <w:rsid w:val="00A646C1"/>
    <w:rsid w:val="00AB0378"/>
    <w:rsid w:val="00AF34DD"/>
    <w:rsid w:val="00BA081E"/>
    <w:rsid w:val="00C921FC"/>
    <w:rsid w:val="00CB1C26"/>
    <w:rsid w:val="00CE46F5"/>
    <w:rsid w:val="00CF0264"/>
    <w:rsid w:val="00D956E1"/>
    <w:rsid w:val="00DA5DA0"/>
    <w:rsid w:val="00DE5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378"/>
    <w:rPr>
      <w:rFonts w:ascii="Calibri" w:eastAsia="Calibri" w:hAnsi="Calibri" w:cs="Times New Roman"/>
    </w:rPr>
  </w:style>
  <w:style w:type="paragraph" w:styleId="Nagwek1">
    <w:name w:val="heading 1"/>
    <w:basedOn w:val="Normalny"/>
    <w:next w:val="Tekstpodstawowy"/>
    <w:link w:val="Nagwek1Znak"/>
    <w:qFormat/>
    <w:rsid w:val="00AB0378"/>
    <w:pPr>
      <w:keepNext/>
      <w:spacing w:after="0" w:line="260" w:lineRule="atLeast"/>
      <w:outlineLvl w:val="0"/>
    </w:pPr>
    <w:rPr>
      <w:rFonts w:ascii="Arial Black" w:eastAsia="Times New Roman" w:hAnsi="Arial Black" w:cs="Arial"/>
      <w:bCs/>
      <w:color w:val="4F2D7F"/>
      <w:kern w:val="32"/>
      <w:sz w:val="19"/>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0378"/>
    <w:rPr>
      <w:rFonts w:ascii="Arial Black" w:eastAsia="Times New Roman" w:hAnsi="Arial Black" w:cs="Arial"/>
      <w:bCs/>
      <w:color w:val="4F2D7F"/>
      <w:kern w:val="32"/>
      <w:sz w:val="19"/>
      <w:szCs w:val="28"/>
      <w:lang w:val="en-US"/>
    </w:rPr>
  </w:style>
  <w:style w:type="paragraph" w:styleId="Nagwek">
    <w:name w:val="header"/>
    <w:basedOn w:val="Normalny"/>
    <w:link w:val="NagwekZnak"/>
    <w:uiPriority w:val="99"/>
    <w:unhideWhenUsed/>
    <w:rsid w:val="00AB0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0378"/>
    <w:rPr>
      <w:rFonts w:ascii="Calibri" w:eastAsia="Calibri" w:hAnsi="Calibri" w:cs="Times New Roman"/>
    </w:rPr>
  </w:style>
  <w:style w:type="paragraph" w:styleId="Stopka">
    <w:name w:val="footer"/>
    <w:basedOn w:val="Normalny"/>
    <w:link w:val="StopkaZnak"/>
    <w:uiPriority w:val="99"/>
    <w:unhideWhenUsed/>
    <w:rsid w:val="00AB0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0378"/>
    <w:rPr>
      <w:rFonts w:ascii="Calibri" w:eastAsia="Calibri" w:hAnsi="Calibri" w:cs="Times New Roman"/>
    </w:rPr>
  </w:style>
  <w:style w:type="paragraph" w:styleId="Tekstpodstawowy">
    <w:name w:val="Body Text"/>
    <w:basedOn w:val="Normalny"/>
    <w:link w:val="TekstpodstawowyZnak"/>
    <w:rsid w:val="00AB0378"/>
    <w:pPr>
      <w:spacing w:after="284" w:line="280" w:lineRule="atLeast"/>
    </w:pPr>
    <w:rPr>
      <w:rFonts w:ascii="Garamond" w:eastAsia="Times New Roman" w:hAnsi="Garamond" w:cs="Arial"/>
      <w:szCs w:val="20"/>
      <w:lang w:val="en-US"/>
    </w:rPr>
  </w:style>
  <w:style w:type="character" w:customStyle="1" w:styleId="TekstpodstawowyZnak">
    <w:name w:val="Tekst podstawowy Znak"/>
    <w:basedOn w:val="Domylnaczcionkaakapitu"/>
    <w:link w:val="Tekstpodstawowy"/>
    <w:rsid w:val="00AB0378"/>
    <w:rPr>
      <w:rFonts w:ascii="Garamond" w:eastAsia="Times New Roman" w:hAnsi="Garamond" w:cs="Arial"/>
      <w:szCs w:val="20"/>
      <w:lang w:val="en-US"/>
    </w:rPr>
  </w:style>
  <w:style w:type="character" w:styleId="Hipercze">
    <w:name w:val="Hyperlink"/>
    <w:semiHidden/>
    <w:rsid w:val="00AB0378"/>
    <w:rPr>
      <w:color w:val="0000FF"/>
      <w:u w:val="single"/>
      <w:lang w:val="en-GB"/>
    </w:rPr>
  </w:style>
  <w:style w:type="paragraph" w:customStyle="1" w:styleId="LetterFooter">
    <w:name w:val="Letter Footer"/>
    <w:semiHidden/>
    <w:rsid w:val="00AB0378"/>
    <w:pPr>
      <w:spacing w:after="0" w:line="140" w:lineRule="atLeast"/>
    </w:pPr>
    <w:rPr>
      <w:rFonts w:ascii="Arial Narrow" w:eastAsia="Times New Roman" w:hAnsi="Arial Narrow" w:cs="Arial"/>
      <w:sz w:val="11"/>
      <w:szCs w:val="20"/>
      <w:lang w:val="en-GB"/>
    </w:rPr>
  </w:style>
  <w:style w:type="paragraph" w:styleId="Tekstdymka">
    <w:name w:val="Balloon Text"/>
    <w:basedOn w:val="Normalny"/>
    <w:link w:val="TekstdymkaZnak"/>
    <w:uiPriority w:val="99"/>
    <w:semiHidden/>
    <w:unhideWhenUsed/>
    <w:rsid w:val="00AB03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378"/>
    <w:rPr>
      <w:rFonts w:ascii="Tahoma" w:eastAsia="Calibri" w:hAnsi="Tahoma" w:cs="Tahoma"/>
      <w:sz w:val="16"/>
      <w:szCs w:val="16"/>
    </w:rPr>
  </w:style>
  <w:style w:type="paragraph" w:customStyle="1" w:styleId="Default">
    <w:name w:val="Default"/>
    <w:rsid w:val="002D1E12"/>
    <w:pPr>
      <w:autoSpaceDE w:val="0"/>
      <w:autoSpaceDN w:val="0"/>
      <w:adjustRightInd w:val="0"/>
      <w:spacing w:after="0" w:line="240" w:lineRule="auto"/>
    </w:pPr>
    <w:rPr>
      <w:rFonts w:ascii="NewsGotTCE" w:hAnsi="NewsGotTCE" w:cs="NewsGotTCE"/>
      <w:color w:val="000000"/>
      <w:sz w:val="24"/>
      <w:szCs w:val="24"/>
    </w:rPr>
  </w:style>
  <w:style w:type="character" w:customStyle="1" w:styleId="A11">
    <w:name w:val="A11"/>
    <w:uiPriority w:val="99"/>
    <w:rsid w:val="002D1E12"/>
    <w:rPr>
      <w:rFonts w:cs="NewsGotTCE"/>
      <w:color w:val="000000"/>
      <w:sz w:val="16"/>
      <w:szCs w:val="16"/>
    </w:rPr>
  </w:style>
  <w:style w:type="paragraph" w:customStyle="1" w:styleId="Pa4">
    <w:name w:val="Pa4"/>
    <w:basedOn w:val="Default"/>
    <w:next w:val="Default"/>
    <w:uiPriority w:val="99"/>
    <w:rsid w:val="005B25B7"/>
    <w:pPr>
      <w:spacing w:line="241" w:lineRule="atLeast"/>
    </w:pPr>
    <w:rPr>
      <w:rFonts w:cstheme="minorBidi"/>
      <w:color w:val="auto"/>
    </w:rPr>
  </w:style>
  <w:style w:type="paragraph" w:styleId="Akapitzlist">
    <w:name w:val="List Paragraph"/>
    <w:basedOn w:val="Normalny"/>
    <w:uiPriority w:val="34"/>
    <w:qFormat/>
    <w:rsid w:val="00AF3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378"/>
    <w:rPr>
      <w:rFonts w:ascii="Calibri" w:eastAsia="Calibri" w:hAnsi="Calibri" w:cs="Times New Roman"/>
    </w:rPr>
  </w:style>
  <w:style w:type="paragraph" w:styleId="Nagwek1">
    <w:name w:val="heading 1"/>
    <w:basedOn w:val="Normalny"/>
    <w:next w:val="Tekstpodstawowy"/>
    <w:link w:val="Nagwek1Znak"/>
    <w:qFormat/>
    <w:rsid w:val="00AB0378"/>
    <w:pPr>
      <w:keepNext/>
      <w:spacing w:after="0" w:line="260" w:lineRule="atLeast"/>
      <w:outlineLvl w:val="0"/>
    </w:pPr>
    <w:rPr>
      <w:rFonts w:ascii="Arial Black" w:eastAsia="Times New Roman" w:hAnsi="Arial Black" w:cs="Arial"/>
      <w:bCs/>
      <w:color w:val="4F2D7F"/>
      <w:kern w:val="32"/>
      <w:sz w:val="19"/>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0378"/>
    <w:rPr>
      <w:rFonts w:ascii="Arial Black" w:eastAsia="Times New Roman" w:hAnsi="Arial Black" w:cs="Arial"/>
      <w:bCs/>
      <w:color w:val="4F2D7F"/>
      <w:kern w:val="32"/>
      <w:sz w:val="19"/>
      <w:szCs w:val="28"/>
      <w:lang w:val="en-US"/>
    </w:rPr>
  </w:style>
  <w:style w:type="paragraph" w:styleId="Nagwek">
    <w:name w:val="header"/>
    <w:basedOn w:val="Normalny"/>
    <w:link w:val="NagwekZnak"/>
    <w:uiPriority w:val="99"/>
    <w:unhideWhenUsed/>
    <w:rsid w:val="00AB0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0378"/>
    <w:rPr>
      <w:rFonts w:ascii="Calibri" w:eastAsia="Calibri" w:hAnsi="Calibri" w:cs="Times New Roman"/>
    </w:rPr>
  </w:style>
  <w:style w:type="paragraph" w:styleId="Stopka">
    <w:name w:val="footer"/>
    <w:basedOn w:val="Normalny"/>
    <w:link w:val="StopkaZnak"/>
    <w:uiPriority w:val="99"/>
    <w:unhideWhenUsed/>
    <w:rsid w:val="00AB0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0378"/>
    <w:rPr>
      <w:rFonts w:ascii="Calibri" w:eastAsia="Calibri" w:hAnsi="Calibri" w:cs="Times New Roman"/>
    </w:rPr>
  </w:style>
  <w:style w:type="paragraph" w:styleId="Tekstpodstawowy">
    <w:name w:val="Body Text"/>
    <w:basedOn w:val="Normalny"/>
    <w:link w:val="TekstpodstawowyZnak"/>
    <w:rsid w:val="00AB0378"/>
    <w:pPr>
      <w:spacing w:after="284" w:line="280" w:lineRule="atLeast"/>
    </w:pPr>
    <w:rPr>
      <w:rFonts w:ascii="Garamond" w:eastAsia="Times New Roman" w:hAnsi="Garamond" w:cs="Arial"/>
      <w:szCs w:val="20"/>
      <w:lang w:val="en-US"/>
    </w:rPr>
  </w:style>
  <w:style w:type="character" w:customStyle="1" w:styleId="TekstpodstawowyZnak">
    <w:name w:val="Tekst podstawowy Znak"/>
    <w:basedOn w:val="Domylnaczcionkaakapitu"/>
    <w:link w:val="Tekstpodstawowy"/>
    <w:rsid w:val="00AB0378"/>
    <w:rPr>
      <w:rFonts w:ascii="Garamond" w:eastAsia="Times New Roman" w:hAnsi="Garamond" w:cs="Arial"/>
      <w:szCs w:val="20"/>
      <w:lang w:val="en-US"/>
    </w:rPr>
  </w:style>
  <w:style w:type="character" w:styleId="Hipercze">
    <w:name w:val="Hyperlink"/>
    <w:semiHidden/>
    <w:rsid w:val="00AB0378"/>
    <w:rPr>
      <w:color w:val="0000FF"/>
      <w:u w:val="single"/>
      <w:lang w:val="en-GB"/>
    </w:rPr>
  </w:style>
  <w:style w:type="paragraph" w:customStyle="1" w:styleId="LetterFooter">
    <w:name w:val="Letter Footer"/>
    <w:semiHidden/>
    <w:rsid w:val="00AB0378"/>
    <w:pPr>
      <w:spacing w:after="0" w:line="140" w:lineRule="atLeast"/>
    </w:pPr>
    <w:rPr>
      <w:rFonts w:ascii="Arial Narrow" w:eastAsia="Times New Roman" w:hAnsi="Arial Narrow" w:cs="Arial"/>
      <w:sz w:val="11"/>
      <w:szCs w:val="20"/>
      <w:lang w:val="en-GB"/>
    </w:rPr>
  </w:style>
  <w:style w:type="paragraph" w:styleId="Tekstdymka">
    <w:name w:val="Balloon Text"/>
    <w:basedOn w:val="Normalny"/>
    <w:link w:val="TekstdymkaZnak"/>
    <w:uiPriority w:val="99"/>
    <w:semiHidden/>
    <w:unhideWhenUsed/>
    <w:rsid w:val="00AB03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378"/>
    <w:rPr>
      <w:rFonts w:ascii="Tahoma" w:eastAsia="Calibri" w:hAnsi="Tahoma" w:cs="Tahoma"/>
      <w:sz w:val="16"/>
      <w:szCs w:val="16"/>
    </w:rPr>
  </w:style>
  <w:style w:type="paragraph" w:customStyle="1" w:styleId="Default">
    <w:name w:val="Default"/>
    <w:rsid w:val="002D1E12"/>
    <w:pPr>
      <w:autoSpaceDE w:val="0"/>
      <w:autoSpaceDN w:val="0"/>
      <w:adjustRightInd w:val="0"/>
      <w:spacing w:after="0" w:line="240" w:lineRule="auto"/>
    </w:pPr>
    <w:rPr>
      <w:rFonts w:ascii="NewsGotTCE" w:hAnsi="NewsGotTCE" w:cs="NewsGotTCE"/>
      <w:color w:val="000000"/>
      <w:sz w:val="24"/>
      <w:szCs w:val="24"/>
    </w:rPr>
  </w:style>
  <w:style w:type="character" w:customStyle="1" w:styleId="A11">
    <w:name w:val="A11"/>
    <w:uiPriority w:val="99"/>
    <w:rsid w:val="002D1E12"/>
    <w:rPr>
      <w:rFonts w:cs="NewsGotTCE"/>
      <w:color w:val="000000"/>
      <w:sz w:val="16"/>
      <w:szCs w:val="16"/>
    </w:rPr>
  </w:style>
  <w:style w:type="paragraph" w:customStyle="1" w:styleId="Pa4">
    <w:name w:val="Pa4"/>
    <w:basedOn w:val="Default"/>
    <w:next w:val="Default"/>
    <w:uiPriority w:val="99"/>
    <w:rsid w:val="005B25B7"/>
    <w:pPr>
      <w:spacing w:line="241" w:lineRule="atLeast"/>
    </w:pPr>
    <w:rPr>
      <w:rFonts w:cstheme="minorBidi"/>
      <w:color w:val="auto"/>
    </w:rPr>
  </w:style>
  <w:style w:type="paragraph" w:styleId="Akapitzlist">
    <w:name w:val="List Paragraph"/>
    <w:basedOn w:val="Normalny"/>
    <w:uiPriority w:val="34"/>
    <w:qFormat/>
    <w:rsid w:val="00AF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ti.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ntthornton.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cek.kowalczyk@pl.g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wel.zaczynski@pl.gt.com" TargetMode="External"/><Relationship Id="rId4" Type="http://schemas.openxmlformats.org/officeDocument/2006/relationships/settings" Target="settings.xml"/><Relationship Id="rId9" Type="http://schemas.openxmlformats.org/officeDocument/2006/relationships/hyperlink" Target="mailto:jan.letkiewicz@pl.g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6421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Macielak</dc:creator>
  <cp:lastModifiedBy>Kowalczyk Jacek</cp:lastModifiedBy>
  <cp:revision>3</cp:revision>
  <dcterms:created xsi:type="dcterms:W3CDTF">2017-03-30T13:41:00Z</dcterms:created>
  <dcterms:modified xsi:type="dcterms:W3CDTF">2017-03-30T13:48:00Z</dcterms:modified>
</cp:coreProperties>
</file>