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2F" w:rsidRDefault="00D8712F" w:rsidP="00C04FB3">
      <w:pPr>
        <w:pStyle w:val="PRTitle"/>
        <w:spacing w:line="276" w:lineRule="auto"/>
        <w:rPr>
          <w:sz w:val="44"/>
          <w:lang w:val="pl-PL"/>
        </w:rPr>
      </w:pPr>
    </w:p>
    <w:p w:rsidR="00813F04" w:rsidRPr="00043B07" w:rsidRDefault="00625597" w:rsidP="00C04FB3">
      <w:pPr>
        <w:pStyle w:val="PRTitle"/>
        <w:spacing w:line="276" w:lineRule="auto"/>
        <w:rPr>
          <w:sz w:val="96"/>
          <w:lang w:val="pl-PL"/>
        </w:rPr>
      </w:pPr>
      <w:r w:rsidRPr="00043B07">
        <w:rPr>
          <w:sz w:val="96"/>
          <w:lang w:val="pl-PL"/>
        </w:rPr>
        <w:t>Pr</w:t>
      </w:r>
      <w:r w:rsidR="00043B07" w:rsidRPr="00043B07">
        <w:rPr>
          <w:sz w:val="96"/>
          <w:lang w:val="pl-PL"/>
        </w:rPr>
        <w:t xml:space="preserve">odukcja prawa </w:t>
      </w:r>
      <w:r w:rsidR="00D8712F">
        <w:rPr>
          <w:sz w:val="96"/>
          <w:lang w:val="pl-PL"/>
        </w:rPr>
        <w:t xml:space="preserve">wyraźnie </w:t>
      </w:r>
      <w:r w:rsidR="002C366F">
        <w:rPr>
          <w:sz w:val="96"/>
          <w:lang w:val="pl-PL"/>
        </w:rPr>
        <w:t>spowalnia</w:t>
      </w:r>
    </w:p>
    <w:p w:rsidR="00D8712F" w:rsidRPr="00D8712F" w:rsidRDefault="00142F32" w:rsidP="00B87565">
      <w:pPr>
        <w:pStyle w:val="Tekstpodstawowy"/>
        <w:rPr>
          <w:b/>
          <w:color w:val="00A7B5" w:themeColor="accent3"/>
          <w:lang w:val="pl-PL"/>
        </w:rPr>
      </w:pPr>
      <w:r>
        <w:rPr>
          <w:b/>
          <w:color w:val="00A7B5" w:themeColor="accent3"/>
          <w:lang w:val="pl-PL"/>
        </w:rPr>
        <w:t>Aktualizacja za I półrocze 2018 r.</w:t>
      </w:r>
    </w:p>
    <w:p w:rsidR="00B87565" w:rsidRPr="000C4938" w:rsidRDefault="00142F32" w:rsidP="00B87565">
      <w:pPr>
        <w:pStyle w:val="Tekstpodstawowy"/>
        <w:rPr>
          <w:lang w:val="pl-PL"/>
        </w:rPr>
      </w:pPr>
      <w:r>
        <w:rPr>
          <w:lang w:val="pl-PL"/>
        </w:rPr>
        <w:t>5 lipca</w:t>
      </w:r>
      <w:r w:rsidR="00CC3603">
        <w:rPr>
          <w:lang w:val="pl-PL"/>
        </w:rPr>
        <w:t xml:space="preserve"> 2018</w:t>
      </w:r>
      <w:r w:rsidR="00AE0450" w:rsidRPr="000C4938">
        <w:rPr>
          <w:lang w:val="pl-PL"/>
        </w:rPr>
        <w:t xml:space="preserve"> r.</w:t>
      </w:r>
    </w:p>
    <w:p w:rsidR="00AE0450" w:rsidRDefault="00AE0450" w:rsidP="00B87565">
      <w:pPr>
        <w:pStyle w:val="Tekstpodstawowy"/>
        <w:rPr>
          <w:lang w:val="pl-PL"/>
        </w:rPr>
      </w:pPr>
    </w:p>
    <w:p w:rsidR="000C4938" w:rsidRPr="000C4938" w:rsidRDefault="000C4938" w:rsidP="00B87565">
      <w:pPr>
        <w:pStyle w:val="Tekstpodstawowy"/>
        <w:rPr>
          <w:lang w:val="pl-PL"/>
        </w:rPr>
      </w:pPr>
    </w:p>
    <w:p w:rsidR="00043B07" w:rsidRDefault="00043B07" w:rsidP="00AE0450">
      <w:pPr>
        <w:pStyle w:val="Tekstpodstawowy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</w:p>
    <w:p w:rsidR="000C4938" w:rsidRPr="00D8712F" w:rsidRDefault="00CC3603" w:rsidP="00D8712F">
      <w:pPr>
        <w:pStyle w:val="Tekstpodstawowy"/>
        <w:spacing w:after="0" w:line="360" w:lineRule="auto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 pierwszej połowie 2018</w:t>
      </w:r>
      <w:r w:rsid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r.</w:t>
      </w: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przyjęto 8 727</w:t>
      </w:r>
      <w:r w:rsidR="00625597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stron maszynopisu aktów pr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awnych najwyższego r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zędu. To spadek aż o 50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proc. w porównaniu z analogicznym okresem ubiegłego roku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– 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wynika z najnowszej aktualizacji „</w:t>
      </w:r>
      <w:r w:rsidR="00F10F54" w:rsidRPr="00043B07">
        <w:rPr>
          <w:rFonts w:asciiTheme="majorHAnsi" w:hAnsiTheme="majorHAnsi" w:cstheme="majorHAnsi"/>
          <w:bCs/>
          <w:color w:val="4F2D7F"/>
          <w:kern w:val="32"/>
          <w:sz w:val="32"/>
          <w:szCs w:val="28"/>
          <w:lang w:val="pl-PL"/>
        </w:rPr>
        <w:t>Barometru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stabilności otoczenia prawnego w Polsce” 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Default="00F10F54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>Firma au</w:t>
      </w:r>
      <w:r w:rsidR="00043B07">
        <w:rPr>
          <w:rFonts w:eastAsia="Calibri" w:cstheme="minorHAnsi"/>
          <w:sz w:val="20"/>
          <w:lang w:val="pl-PL"/>
        </w:rPr>
        <w:t>dytorsko-doradcza</w:t>
      </w:r>
      <w:r w:rsidRPr="00F10F54">
        <w:rPr>
          <w:rFonts w:eastAsia="Calibri" w:cstheme="minorHAnsi"/>
          <w:sz w:val="20"/>
          <w:lang w:val="pl-PL"/>
        </w:rPr>
        <w:t xml:space="preserve"> Grant Thornton w lutym 2015 r. zainaugurowała swój projekt badawczy „Barometr stabilności otoczenia prawnego w polskiej gospodarce”, w ramach którego monitoruje na bieżąco chwiejność polskiego systemu prawnego. </w:t>
      </w:r>
      <w:r w:rsidR="00043B07">
        <w:rPr>
          <w:rFonts w:eastAsia="Calibri" w:cstheme="minorHAnsi"/>
          <w:sz w:val="20"/>
          <w:lang w:val="pl-PL"/>
        </w:rPr>
        <w:t>Od tego czasu raz do roku publikuje raport na temat skali produkcji nowego prawa w Polsce, a co trzy miesiące przedstawia skrócone aktualizacje kwartal</w:t>
      </w:r>
      <w:r w:rsidR="0098693F">
        <w:rPr>
          <w:rFonts w:eastAsia="Calibri" w:cstheme="minorHAnsi"/>
          <w:sz w:val="20"/>
          <w:lang w:val="pl-PL"/>
        </w:rPr>
        <w:t>n</w:t>
      </w:r>
      <w:r w:rsidR="00043B07">
        <w:rPr>
          <w:rFonts w:eastAsia="Calibri" w:cstheme="minorHAnsi"/>
          <w:sz w:val="20"/>
          <w:lang w:val="pl-PL"/>
        </w:rPr>
        <w:t>e.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043B07" w:rsidRDefault="00CC1A6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 xml:space="preserve">Wnioski </w:t>
      </w:r>
      <w:r w:rsidR="004A4534">
        <w:rPr>
          <w:rFonts w:eastAsia="Calibri" w:cstheme="minorHAnsi"/>
          <w:sz w:val="20"/>
          <w:lang w:val="pl-PL"/>
        </w:rPr>
        <w:t>płynące z najnowszej aktu</w:t>
      </w:r>
      <w:r w:rsidR="00043B07">
        <w:rPr>
          <w:rFonts w:eastAsia="Calibri" w:cstheme="minorHAnsi"/>
          <w:sz w:val="20"/>
          <w:lang w:val="pl-PL"/>
        </w:rPr>
        <w:t>alizacji bada</w:t>
      </w:r>
      <w:r w:rsidR="00F03413">
        <w:rPr>
          <w:rFonts w:eastAsia="Calibri" w:cstheme="minorHAnsi"/>
          <w:sz w:val="20"/>
          <w:lang w:val="pl-PL"/>
        </w:rPr>
        <w:t>nia – po pierwszym półroczu 2018</w:t>
      </w:r>
      <w:r w:rsidR="00043B07">
        <w:rPr>
          <w:rFonts w:eastAsia="Calibri" w:cstheme="minorHAnsi"/>
          <w:sz w:val="20"/>
          <w:lang w:val="pl-PL"/>
        </w:rPr>
        <w:t xml:space="preserve"> r. –</w:t>
      </w:r>
      <w:r w:rsidR="00F03413">
        <w:rPr>
          <w:rFonts w:eastAsia="Calibri" w:cstheme="minorHAnsi"/>
          <w:sz w:val="20"/>
          <w:lang w:val="pl-PL"/>
        </w:rPr>
        <w:t xml:space="preserve"> są </w:t>
      </w:r>
      <w:r w:rsidR="00043B07">
        <w:rPr>
          <w:rFonts w:eastAsia="Calibri" w:cstheme="minorHAnsi"/>
          <w:sz w:val="20"/>
          <w:lang w:val="pl-PL"/>
        </w:rPr>
        <w:t>optymistyczne. Od początk</w:t>
      </w:r>
      <w:r w:rsidR="00F03413">
        <w:rPr>
          <w:rFonts w:eastAsia="Calibri" w:cstheme="minorHAnsi"/>
          <w:sz w:val="20"/>
          <w:lang w:val="pl-PL"/>
        </w:rPr>
        <w:t>u stycznia do końca czerwca 2018</w:t>
      </w:r>
      <w:r w:rsidR="00043B07">
        <w:rPr>
          <w:rFonts w:eastAsia="Calibri" w:cstheme="minorHAnsi"/>
          <w:sz w:val="20"/>
          <w:lang w:val="pl-PL"/>
        </w:rPr>
        <w:t xml:space="preserve"> r.</w:t>
      </w:r>
      <w:r w:rsidR="004A4534">
        <w:rPr>
          <w:rFonts w:eastAsia="Calibri" w:cstheme="minorHAnsi"/>
          <w:sz w:val="20"/>
          <w:lang w:val="pl-PL"/>
        </w:rPr>
        <w:t xml:space="preserve"> </w:t>
      </w:r>
      <w:r w:rsidR="00D80C66">
        <w:rPr>
          <w:rFonts w:eastAsia="Calibri" w:cstheme="minorHAnsi"/>
          <w:sz w:val="20"/>
          <w:lang w:val="pl-PL"/>
        </w:rPr>
        <w:t>uchwalono</w:t>
      </w:r>
      <w:r w:rsidR="00043B07">
        <w:rPr>
          <w:rFonts w:eastAsia="Calibri" w:cstheme="minorHAnsi"/>
          <w:sz w:val="20"/>
          <w:lang w:val="pl-PL"/>
        </w:rPr>
        <w:t xml:space="preserve"> w Polsce</w:t>
      </w:r>
      <w:r w:rsidR="00F03413">
        <w:rPr>
          <w:rFonts w:eastAsia="Calibri" w:cstheme="minorHAnsi"/>
          <w:sz w:val="20"/>
          <w:lang w:val="pl-PL"/>
        </w:rPr>
        <w:t xml:space="preserve"> 8 727</w:t>
      </w:r>
      <w:r w:rsidR="00D80C66">
        <w:rPr>
          <w:rFonts w:eastAsia="Calibri" w:cstheme="minorHAnsi"/>
          <w:sz w:val="20"/>
          <w:lang w:val="pl-PL"/>
        </w:rPr>
        <w:t xml:space="preserve"> stron maszynopisu aktów prawnych</w:t>
      </w:r>
      <w:r w:rsidR="00B23987">
        <w:rPr>
          <w:rFonts w:eastAsia="Calibri" w:cstheme="minorHAnsi"/>
          <w:sz w:val="20"/>
          <w:lang w:val="pl-PL"/>
        </w:rPr>
        <w:t xml:space="preserve"> najwyższego rzędu</w:t>
      </w:r>
      <w:r w:rsidR="0098693F">
        <w:rPr>
          <w:rFonts w:eastAsia="Calibri" w:cstheme="minorHAnsi"/>
          <w:sz w:val="20"/>
          <w:lang w:val="pl-PL"/>
        </w:rPr>
        <w:t xml:space="preserve"> (</w:t>
      </w:r>
      <w:r w:rsidR="00043B07">
        <w:rPr>
          <w:rFonts w:eastAsia="Calibri" w:cstheme="minorHAnsi"/>
          <w:sz w:val="20"/>
          <w:lang w:val="pl-PL"/>
        </w:rPr>
        <w:t>ustaw i rozporządzeń</w:t>
      </w:r>
      <w:r w:rsidR="0098693F">
        <w:rPr>
          <w:rFonts w:eastAsia="Calibri" w:cstheme="minorHAnsi"/>
          <w:sz w:val="20"/>
          <w:lang w:val="pl-PL"/>
        </w:rPr>
        <w:t>)</w:t>
      </w:r>
      <w:r w:rsidR="00043B07">
        <w:rPr>
          <w:rFonts w:eastAsia="Calibri" w:cstheme="minorHAnsi"/>
          <w:sz w:val="20"/>
          <w:lang w:val="pl-PL"/>
        </w:rPr>
        <w:t>. J</w:t>
      </w:r>
      <w:r w:rsidR="00B23987">
        <w:rPr>
          <w:rFonts w:eastAsia="Calibri" w:cstheme="minorHAnsi"/>
          <w:sz w:val="20"/>
          <w:lang w:val="pl-PL"/>
        </w:rPr>
        <w:t>est</w:t>
      </w:r>
      <w:r w:rsidR="00043B07">
        <w:rPr>
          <w:rFonts w:eastAsia="Calibri" w:cstheme="minorHAnsi"/>
          <w:sz w:val="20"/>
          <w:lang w:val="pl-PL"/>
        </w:rPr>
        <w:t xml:space="preserve"> to</w:t>
      </w:r>
      <w:r w:rsidR="00B23987">
        <w:rPr>
          <w:rFonts w:eastAsia="Calibri" w:cstheme="minorHAnsi"/>
          <w:sz w:val="20"/>
          <w:lang w:val="pl-PL"/>
        </w:rPr>
        <w:t xml:space="preserve"> </w:t>
      </w:r>
      <w:r w:rsidR="0098693F">
        <w:rPr>
          <w:rFonts w:eastAsia="Calibri" w:cstheme="minorHAnsi"/>
          <w:sz w:val="20"/>
          <w:lang w:val="pl-PL"/>
        </w:rPr>
        <w:t>wynik aż o 50</w:t>
      </w:r>
      <w:r w:rsidR="001260ED">
        <w:rPr>
          <w:rFonts w:eastAsia="Calibri" w:cstheme="minorHAnsi"/>
          <w:sz w:val="20"/>
          <w:lang w:val="pl-PL"/>
        </w:rPr>
        <w:t xml:space="preserve"> proc. niższy w porównaniu z analogicznym o</w:t>
      </w:r>
      <w:r w:rsidR="0098693F">
        <w:rPr>
          <w:rFonts w:eastAsia="Calibri" w:cstheme="minorHAnsi"/>
          <w:sz w:val="20"/>
          <w:lang w:val="pl-PL"/>
        </w:rPr>
        <w:t>kresem ubiegłego roku. To dobra wiadomość dla polskich firm i obywateli, ponieważ oznacza, że</w:t>
      </w:r>
      <w:r w:rsidR="001260ED">
        <w:rPr>
          <w:rFonts w:eastAsia="Calibri" w:cstheme="minorHAnsi"/>
          <w:sz w:val="20"/>
          <w:lang w:val="pl-PL"/>
        </w:rPr>
        <w:t xml:space="preserve"> kontynuowany jest </w:t>
      </w:r>
      <w:r w:rsidR="0098693F">
        <w:rPr>
          <w:rFonts w:eastAsia="Calibri" w:cstheme="minorHAnsi"/>
          <w:sz w:val="20"/>
          <w:lang w:val="pl-PL"/>
        </w:rPr>
        <w:t xml:space="preserve">pozytywny </w:t>
      </w:r>
      <w:r w:rsidR="001260ED">
        <w:rPr>
          <w:rFonts w:eastAsia="Calibri" w:cstheme="minorHAnsi"/>
          <w:sz w:val="20"/>
          <w:lang w:val="pl-PL"/>
        </w:rPr>
        <w:t>t</w:t>
      </w:r>
      <w:r w:rsidR="0098693F">
        <w:rPr>
          <w:rFonts w:eastAsia="Calibri" w:cstheme="minorHAnsi"/>
          <w:sz w:val="20"/>
          <w:lang w:val="pl-PL"/>
        </w:rPr>
        <w:t>rend zarysowany w 2017 r.,</w:t>
      </w:r>
      <w:r w:rsidR="00043B07">
        <w:rPr>
          <w:rFonts w:eastAsia="Calibri" w:cstheme="minorHAnsi"/>
          <w:sz w:val="20"/>
          <w:lang w:val="pl-PL"/>
        </w:rPr>
        <w:t xml:space="preserve"> kiedy </w:t>
      </w:r>
      <w:r w:rsidR="0098693F">
        <w:rPr>
          <w:rFonts w:eastAsia="Calibri" w:cstheme="minorHAnsi"/>
          <w:sz w:val="20"/>
          <w:lang w:val="pl-PL"/>
        </w:rPr>
        <w:t>produkcja prawa spadła</w:t>
      </w:r>
      <w:r w:rsidR="001260ED">
        <w:rPr>
          <w:rFonts w:eastAsia="Calibri" w:cstheme="minorHAnsi"/>
          <w:sz w:val="20"/>
          <w:lang w:val="pl-PL"/>
        </w:rPr>
        <w:t xml:space="preserve"> </w:t>
      </w:r>
      <w:r w:rsidR="00367A05">
        <w:rPr>
          <w:rFonts w:eastAsia="Calibri" w:cstheme="minorHAnsi"/>
          <w:sz w:val="20"/>
          <w:lang w:val="pl-PL"/>
        </w:rPr>
        <w:t xml:space="preserve">o 15 proc. w stosunku do roku poprzedniego. </w:t>
      </w:r>
    </w:p>
    <w:p w:rsidR="00367A05" w:rsidRPr="00043B07" w:rsidRDefault="00367A05" w:rsidP="00D8712F">
      <w:pPr>
        <w:pStyle w:val="Tekstpodstawowy"/>
        <w:spacing w:after="0" w:line="360" w:lineRule="auto"/>
        <w:rPr>
          <w:rFonts w:eastAsia="Calibri" w:cstheme="minorHAnsi"/>
          <w:b/>
          <w:sz w:val="20"/>
          <w:lang w:val="pl-PL"/>
        </w:rPr>
      </w:pPr>
    </w:p>
    <w:p w:rsidR="00D8712F" w:rsidRDefault="0098693F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lastRenderedPageBreak/>
        <w:t>Jeśli założyć, że dynamika spadku o 50</w:t>
      </w:r>
      <w:r w:rsidR="00367A05">
        <w:rPr>
          <w:rFonts w:eastAsia="Calibri" w:cstheme="minorHAnsi"/>
          <w:b/>
          <w:color w:val="4F2D7F"/>
          <w:sz w:val="20"/>
          <w:lang w:val="pl-PL"/>
        </w:rPr>
        <w:t xml:space="preserve"> proc. utrzyma się w II półroczu, to w całym 2018 roku przyjętych zostałoby 13</w:t>
      </w:r>
      <w:r w:rsidR="00DA5B3C">
        <w:rPr>
          <w:rFonts w:eastAsia="Calibri" w:cstheme="minorHAnsi"/>
          <w:b/>
          <w:color w:val="4F2D7F"/>
          <w:sz w:val="20"/>
          <w:lang w:val="pl-PL"/>
        </w:rPr>
        <w:t> 559 stron maszynopisu aktów prawny</w:t>
      </w:r>
      <w:r>
        <w:rPr>
          <w:rFonts w:eastAsia="Calibri" w:cstheme="minorHAnsi"/>
          <w:b/>
          <w:color w:val="4F2D7F"/>
          <w:sz w:val="20"/>
          <w:lang w:val="pl-PL"/>
        </w:rPr>
        <w:t>ch. Oznaczałoby to, że pod względem produkcji prawa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wrócimy </w:t>
      </w:r>
      <w:r w:rsidR="00DA5B3C">
        <w:rPr>
          <w:rFonts w:eastAsia="Calibri" w:cstheme="minorHAnsi"/>
          <w:b/>
          <w:color w:val="4F2D7F"/>
          <w:sz w:val="20"/>
          <w:lang w:val="pl-PL"/>
        </w:rPr>
        <w:t>do poziomu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z 2008 r., kiedy to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wyprodukowano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w Polsce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13,7 tys. stron aktów prawnych. </w:t>
      </w:r>
    </w:p>
    <w:p w:rsidR="00CD6259" w:rsidRDefault="0071541C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234315</wp:posOffset>
            </wp:positionV>
            <wp:extent cx="660434" cy="615982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B3C"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ED1546" w:rsidRDefault="001B3754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1B3754">
        <w:rPr>
          <w:rFonts w:eastAsia="Calibri" w:cstheme="minorHAnsi"/>
          <w:i/>
          <w:sz w:val="20"/>
          <w:lang w:val="pl-PL"/>
        </w:rPr>
        <w:t>Niestabilność systemu prawnego</w:t>
      </w:r>
      <w:r w:rsidR="00AA4DA3">
        <w:rPr>
          <w:rFonts w:eastAsia="Calibri" w:cstheme="minorHAnsi"/>
          <w:i/>
          <w:sz w:val="20"/>
          <w:lang w:val="pl-PL"/>
        </w:rPr>
        <w:t xml:space="preserve"> </w:t>
      </w:r>
      <w:r w:rsidR="00814DDF">
        <w:rPr>
          <w:rFonts w:eastAsia="Calibri" w:cstheme="minorHAnsi"/>
          <w:i/>
          <w:sz w:val="20"/>
          <w:lang w:val="pl-PL"/>
        </w:rPr>
        <w:t>jest bardzo niekorzystna dla</w:t>
      </w:r>
      <w:r w:rsidR="00AA4DA3">
        <w:rPr>
          <w:rFonts w:eastAsia="Calibri" w:cstheme="minorHAnsi"/>
          <w:i/>
          <w:sz w:val="20"/>
          <w:lang w:val="pl-PL"/>
        </w:rPr>
        <w:t xml:space="preserve"> </w:t>
      </w:r>
      <w:r w:rsidRPr="001B3754">
        <w:rPr>
          <w:rFonts w:eastAsia="Calibri" w:cstheme="minorHAnsi"/>
          <w:i/>
          <w:sz w:val="20"/>
          <w:lang w:val="pl-PL"/>
        </w:rPr>
        <w:t>polskich przedsiębiorców</w:t>
      </w:r>
      <w:r w:rsidR="00361CB6">
        <w:rPr>
          <w:rFonts w:eastAsia="Calibri" w:cstheme="minorHAnsi"/>
          <w:i/>
          <w:sz w:val="20"/>
          <w:lang w:val="pl-PL"/>
        </w:rPr>
        <w:t xml:space="preserve">, ponieważ zmusza firmy nie tylko do ponoszenia kosztów związanych z dostosowaniem się do nowych przepisów, ale też naraża przedsiębiorstwa na ryzyko biznesowe – każda nowa regulacja oznacza, że zmieniane są reguły w trakcie gry. Dlatego mocne wyhamowanie produkcji prawa napawa optymizmem </w:t>
      </w:r>
      <w:r>
        <w:rPr>
          <w:rFonts w:eastAsia="Calibri" w:cstheme="minorHAnsi"/>
          <w:sz w:val="20"/>
          <w:lang w:val="pl-PL"/>
        </w:rPr>
        <w:t xml:space="preserve">– komentuje </w:t>
      </w:r>
      <w:r w:rsidR="004E55EF">
        <w:rPr>
          <w:rFonts w:eastAsia="Calibri" w:cstheme="minorHAnsi"/>
          <w:b/>
          <w:sz w:val="20"/>
          <w:lang w:val="pl-PL"/>
        </w:rPr>
        <w:t>Przemysław Polaczek</w:t>
      </w:r>
      <w:r w:rsidR="00043B07">
        <w:rPr>
          <w:rFonts w:eastAsia="Calibri" w:cstheme="minorHAnsi"/>
          <w:sz w:val="20"/>
          <w:lang w:val="pl-PL"/>
        </w:rPr>
        <w:t xml:space="preserve">, Partner Zarządzający </w:t>
      </w:r>
      <w:r w:rsidR="004E55EF">
        <w:rPr>
          <w:rFonts w:eastAsia="Calibri" w:cstheme="minorHAnsi"/>
          <w:sz w:val="20"/>
          <w:lang w:val="pl-PL"/>
        </w:rPr>
        <w:t xml:space="preserve">w </w:t>
      </w:r>
      <w:r>
        <w:rPr>
          <w:rFonts w:eastAsia="Calibri" w:cstheme="minorHAnsi"/>
          <w:sz w:val="20"/>
          <w:lang w:val="pl-PL"/>
        </w:rPr>
        <w:t xml:space="preserve">Grant Thornton. </w:t>
      </w:r>
      <w:r w:rsidR="00454B89">
        <w:rPr>
          <w:rFonts w:eastAsia="Calibri" w:cstheme="minorHAnsi"/>
          <w:sz w:val="20"/>
          <w:lang w:val="pl-PL"/>
        </w:rPr>
        <w:t xml:space="preserve">- </w:t>
      </w:r>
      <w:r w:rsidRPr="002C5EBF">
        <w:rPr>
          <w:rFonts w:eastAsia="Calibri" w:cstheme="minorHAnsi"/>
          <w:i/>
          <w:sz w:val="20"/>
          <w:lang w:val="pl-PL"/>
        </w:rPr>
        <w:t xml:space="preserve">Po </w:t>
      </w:r>
      <w:r w:rsidR="009D6F6C">
        <w:rPr>
          <w:rFonts w:eastAsia="Calibri" w:cstheme="minorHAnsi"/>
          <w:i/>
          <w:sz w:val="20"/>
          <w:lang w:val="pl-PL"/>
        </w:rPr>
        <w:t>wcześniejszych</w:t>
      </w:r>
      <w:r w:rsidRPr="002C5EBF">
        <w:rPr>
          <w:rFonts w:eastAsia="Calibri" w:cstheme="minorHAnsi"/>
          <w:i/>
          <w:sz w:val="20"/>
          <w:lang w:val="pl-PL"/>
        </w:rPr>
        <w:t xml:space="preserve"> </w:t>
      </w:r>
      <w:r w:rsidR="00454B89" w:rsidRPr="002C5EBF">
        <w:rPr>
          <w:rFonts w:eastAsia="Calibri" w:cstheme="minorHAnsi"/>
          <w:i/>
          <w:sz w:val="20"/>
          <w:lang w:val="pl-PL"/>
        </w:rPr>
        <w:t xml:space="preserve">rekordowych </w:t>
      </w:r>
      <w:r w:rsidR="00987602">
        <w:rPr>
          <w:rFonts w:eastAsia="Calibri" w:cstheme="minorHAnsi"/>
          <w:i/>
          <w:sz w:val="20"/>
          <w:lang w:val="pl-PL"/>
        </w:rPr>
        <w:t>latach tempo</w:t>
      </w:r>
      <w:r w:rsidR="009D6F6C">
        <w:rPr>
          <w:rFonts w:eastAsia="Calibri" w:cstheme="minorHAnsi"/>
          <w:i/>
          <w:sz w:val="20"/>
          <w:lang w:val="pl-PL"/>
        </w:rPr>
        <w:t xml:space="preserve"> tworzenia nowych ustaw i rozporządzeń</w:t>
      </w:r>
      <w:r w:rsidR="00987602">
        <w:rPr>
          <w:rFonts w:eastAsia="Calibri" w:cstheme="minorHAnsi"/>
          <w:i/>
          <w:sz w:val="20"/>
          <w:lang w:val="pl-PL"/>
        </w:rPr>
        <w:t xml:space="preserve"> w koń</w:t>
      </w:r>
      <w:r w:rsidR="00361CB6">
        <w:rPr>
          <w:rFonts w:eastAsia="Calibri" w:cstheme="minorHAnsi"/>
          <w:i/>
          <w:sz w:val="20"/>
          <w:lang w:val="pl-PL"/>
        </w:rPr>
        <w:t>cu spadło. Miejmy nadzieję, że</w:t>
      </w:r>
      <w:r w:rsidR="00987602">
        <w:rPr>
          <w:rFonts w:eastAsia="Calibri" w:cstheme="minorHAnsi"/>
          <w:i/>
          <w:sz w:val="20"/>
          <w:lang w:val="pl-PL"/>
        </w:rPr>
        <w:t xml:space="preserve"> twórcy prawa</w:t>
      </w:r>
      <w:r w:rsidR="00361CB6">
        <w:rPr>
          <w:rFonts w:eastAsia="Calibri" w:cstheme="minorHAnsi"/>
          <w:i/>
          <w:sz w:val="20"/>
          <w:lang w:val="pl-PL"/>
        </w:rPr>
        <w:t xml:space="preserve"> w końcu</w:t>
      </w:r>
      <w:r w:rsidR="00987602">
        <w:rPr>
          <w:rFonts w:eastAsia="Calibri" w:cstheme="minorHAnsi"/>
          <w:i/>
          <w:sz w:val="20"/>
          <w:lang w:val="pl-PL"/>
        </w:rPr>
        <w:t xml:space="preserve"> ograniczyli swoją</w:t>
      </w:r>
      <w:r w:rsidR="00125D84">
        <w:rPr>
          <w:rFonts w:eastAsia="Calibri" w:cstheme="minorHAnsi"/>
          <w:i/>
          <w:sz w:val="20"/>
          <w:lang w:val="pl-PL"/>
        </w:rPr>
        <w:t xml:space="preserve"> – w naszej ocenie nadmierną –</w:t>
      </w:r>
      <w:r w:rsidR="00987602">
        <w:rPr>
          <w:rFonts w:eastAsia="Calibri" w:cstheme="minorHAnsi"/>
          <w:i/>
          <w:sz w:val="20"/>
          <w:lang w:val="pl-PL"/>
        </w:rPr>
        <w:t xml:space="preserve"> skłonność do</w:t>
      </w:r>
      <w:r w:rsidR="00125D84">
        <w:rPr>
          <w:rFonts w:eastAsia="Calibri" w:cstheme="minorHAnsi"/>
          <w:i/>
          <w:sz w:val="20"/>
          <w:lang w:val="pl-PL"/>
        </w:rPr>
        <w:t xml:space="preserve"> regulowania</w:t>
      </w:r>
      <w:r w:rsidR="00987602">
        <w:rPr>
          <w:rFonts w:eastAsia="Calibri" w:cstheme="minorHAnsi"/>
          <w:i/>
          <w:sz w:val="20"/>
          <w:lang w:val="pl-PL"/>
        </w:rPr>
        <w:t xml:space="preserve"> życia obywateli</w:t>
      </w:r>
      <w:r w:rsidR="00125D84">
        <w:rPr>
          <w:rFonts w:eastAsia="Calibri" w:cstheme="minorHAnsi"/>
          <w:i/>
          <w:sz w:val="20"/>
          <w:lang w:val="pl-PL"/>
        </w:rPr>
        <w:t xml:space="preserve"> i dz</w:t>
      </w:r>
      <w:r w:rsidR="00E606CF">
        <w:rPr>
          <w:rFonts w:eastAsia="Calibri" w:cstheme="minorHAnsi"/>
          <w:i/>
          <w:sz w:val="20"/>
          <w:lang w:val="pl-PL"/>
        </w:rPr>
        <w:t>iałalności przedsiębiorstw. Oznaczałoby</w:t>
      </w:r>
      <w:r w:rsidR="00125D84">
        <w:rPr>
          <w:rFonts w:eastAsia="Calibri" w:cstheme="minorHAnsi"/>
          <w:i/>
          <w:sz w:val="20"/>
          <w:lang w:val="pl-PL"/>
        </w:rPr>
        <w:t xml:space="preserve"> to</w:t>
      </w:r>
      <w:r w:rsidR="00E3776A">
        <w:rPr>
          <w:rFonts w:eastAsia="Calibri" w:cstheme="minorHAnsi"/>
          <w:i/>
          <w:sz w:val="20"/>
          <w:lang w:val="pl-PL"/>
        </w:rPr>
        <w:t xml:space="preserve"> krok w dobrą stronę dla polskiego prawa</w:t>
      </w:r>
      <w:r w:rsidR="00987602">
        <w:rPr>
          <w:rFonts w:eastAsia="Calibri" w:cstheme="minorHAnsi"/>
          <w:i/>
          <w:sz w:val="20"/>
          <w:lang w:val="pl-PL"/>
        </w:rPr>
        <w:t xml:space="preserve"> i polskiej gospodarki</w:t>
      </w:r>
      <w:r w:rsidR="00E3776A">
        <w:rPr>
          <w:rFonts w:eastAsia="Calibri" w:cstheme="minorHAnsi"/>
          <w:i/>
          <w:sz w:val="20"/>
          <w:lang w:val="pl-PL"/>
        </w:rPr>
        <w:t xml:space="preserve"> </w:t>
      </w:r>
      <w:r w:rsidR="002C5EBF">
        <w:rPr>
          <w:rFonts w:eastAsia="Calibri" w:cstheme="minorHAnsi"/>
          <w:sz w:val="20"/>
          <w:lang w:val="pl-PL"/>
        </w:rPr>
        <w:t xml:space="preserve">– dodaje. </w:t>
      </w:r>
    </w:p>
    <w:p w:rsidR="00D8712F" w:rsidRPr="00F10F54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b/>
          <w:lang w:val="pl-PL"/>
        </w:rPr>
      </w:pPr>
    </w:p>
    <w:p w:rsidR="00E94767" w:rsidRDefault="00E94767" w:rsidP="00D8712F">
      <w:pPr>
        <w:pStyle w:val="Tekstpodstawowy"/>
        <w:spacing w:after="0" w:line="360" w:lineRule="auto"/>
        <w:rPr>
          <w:lang w:val="pl-PL"/>
        </w:rPr>
      </w:pPr>
      <w:r w:rsidRPr="00043B07">
        <w:rPr>
          <w:b/>
          <w:lang w:val="pl-PL"/>
        </w:rPr>
        <w:t>Wykres</w:t>
      </w:r>
      <w:r w:rsidRPr="00043B07">
        <w:rPr>
          <w:lang w:val="pl-PL"/>
        </w:rPr>
        <w:t>. Liczba stron aktów prawnych, które ukazały się w Dzienniku Ustaw w poszczególnych latach</w:t>
      </w:r>
    </w:p>
    <w:p w:rsidR="00D8712F" w:rsidRPr="00043B07" w:rsidRDefault="00D8712F" w:rsidP="00D8712F">
      <w:pPr>
        <w:pStyle w:val="Tekstpodstawowy"/>
        <w:spacing w:after="0" w:line="360" w:lineRule="auto"/>
        <w:rPr>
          <w:lang w:val="pl-PL"/>
        </w:rPr>
      </w:pPr>
    </w:p>
    <w:p w:rsidR="00E94767" w:rsidRDefault="008556C4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F93693C" wp14:editId="6041853B">
            <wp:extent cx="6301740" cy="3797300"/>
            <wp:effectExtent l="0" t="0" r="381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p w:rsidR="00D8712F" w:rsidRPr="0071541C" w:rsidRDefault="00D8712F" w:rsidP="00D8712F">
      <w:pPr>
        <w:pStyle w:val="Tekstpodstawowy"/>
        <w:spacing w:after="0" w:line="360" w:lineRule="auto"/>
        <w:rPr>
          <w:sz w:val="14"/>
          <w:lang w:val="pl-PL"/>
        </w:rPr>
      </w:pPr>
    </w:p>
    <w:p w:rsidR="007B4C13" w:rsidRDefault="00E94767" w:rsidP="00D8712F">
      <w:pPr>
        <w:pStyle w:val="Tekstpodstawowy"/>
        <w:spacing w:after="0" w:line="360" w:lineRule="auto"/>
        <w:rPr>
          <w:lang w:val="pl-PL"/>
        </w:rPr>
      </w:pPr>
      <w:r w:rsidRPr="00043B07">
        <w:rPr>
          <w:lang w:val="pl-PL"/>
        </w:rPr>
        <w:t>*Liczba stron</w:t>
      </w:r>
      <w:r w:rsidR="00E97F7E">
        <w:rPr>
          <w:lang w:val="pl-PL"/>
        </w:rPr>
        <w:t xml:space="preserve"> aktów prawnych za cały rok 2018</w:t>
      </w:r>
      <w:r w:rsidRPr="00043B07">
        <w:rPr>
          <w:lang w:val="pl-PL"/>
        </w:rPr>
        <w:t xml:space="preserve">, skalkulowana przy założeniu, że w całym </w:t>
      </w:r>
      <w:r w:rsidR="007B4C13">
        <w:rPr>
          <w:lang w:val="pl-PL"/>
        </w:rPr>
        <w:t>roku</w:t>
      </w:r>
      <w:r w:rsidRPr="00043B07">
        <w:rPr>
          <w:lang w:val="pl-PL"/>
        </w:rPr>
        <w:t xml:space="preserve"> utrzymana zostanie dynamika odno</w:t>
      </w:r>
      <w:r w:rsidR="007B4C13">
        <w:rPr>
          <w:lang w:val="pl-PL"/>
        </w:rPr>
        <w:t>towana w pierwszym półroczu 2018 r., czyli 49,96</w:t>
      </w:r>
      <w:r w:rsidRPr="00043B07">
        <w:rPr>
          <w:lang w:val="pl-PL"/>
        </w:rPr>
        <w:t xml:space="preserve"> proc. rok do roku.</w:t>
      </w:r>
    </w:p>
    <w:p w:rsidR="00D8712F" w:rsidRDefault="00D8712F" w:rsidP="00D8712F">
      <w:pPr>
        <w:pStyle w:val="Tekstpodstawowy"/>
        <w:spacing w:after="0" w:line="360" w:lineRule="auto"/>
        <w:rPr>
          <w:lang w:val="pl-PL"/>
        </w:rPr>
      </w:pPr>
    </w:p>
    <w:p w:rsidR="00E94767" w:rsidRPr="00043B07" w:rsidRDefault="00E94767" w:rsidP="00D8712F">
      <w:pPr>
        <w:pStyle w:val="Tekstpodstawowy"/>
        <w:spacing w:after="0" w:line="360" w:lineRule="auto"/>
        <w:rPr>
          <w:lang w:val="pl-PL"/>
        </w:rPr>
      </w:pPr>
      <w:r w:rsidRPr="00043B07">
        <w:rPr>
          <w:lang w:val="pl-PL"/>
        </w:rPr>
        <w:lastRenderedPageBreak/>
        <w:t>Źródło: Opracowanie własne Grant Thornton na podstawie Dziennika Ustaw</w:t>
      </w:r>
    </w:p>
    <w:p w:rsidR="007D6C93" w:rsidRPr="00BD000B" w:rsidRDefault="007D6C93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136673" w:rsidRDefault="00125D84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>Warto jednak zaznaczyć, że</w:t>
      </w:r>
      <w:r w:rsidR="00F46B2C">
        <w:rPr>
          <w:sz w:val="20"/>
          <w:lang w:val="pl-PL"/>
        </w:rPr>
        <w:t xml:space="preserve"> liczba stron aktów prawnych wprowadzonych w 2018 roku zmniejsza się w stosunku do lat ubiegłych</w:t>
      </w:r>
      <w:r>
        <w:rPr>
          <w:sz w:val="20"/>
          <w:lang w:val="pl-PL"/>
        </w:rPr>
        <w:t xml:space="preserve">, to jest ona </w:t>
      </w:r>
      <w:r w:rsidR="00F46B2C">
        <w:rPr>
          <w:sz w:val="20"/>
          <w:lang w:val="pl-PL"/>
        </w:rPr>
        <w:t>nadal bardzo duża</w:t>
      </w:r>
      <w:r w:rsidR="001E511F">
        <w:rPr>
          <w:sz w:val="20"/>
          <w:lang w:val="pl-PL"/>
        </w:rPr>
        <w:t>.</w:t>
      </w:r>
      <w:r w:rsidR="00C227DC">
        <w:rPr>
          <w:sz w:val="20"/>
          <w:lang w:val="pl-PL"/>
        </w:rPr>
        <w:t xml:space="preserve"> </w:t>
      </w:r>
      <w:r>
        <w:rPr>
          <w:sz w:val="20"/>
          <w:lang w:val="pl-PL"/>
        </w:rPr>
        <w:t>W I półroczu 2018 r.</w:t>
      </w:r>
      <w:r w:rsidR="00C227DC">
        <w:rPr>
          <w:sz w:val="20"/>
          <w:lang w:val="pl-PL"/>
        </w:rPr>
        <w:t xml:space="preserve"> na przeczytanie wszystkich nowych </w:t>
      </w:r>
      <w:r>
        <w:rPr>
          <w:sz w:val="20"/>
          <w:lang w:val="pl-PL"/>
        </w:rPr>
        <w:t>ustaw i rozporządzeń trzeba było</w:t>
      </w:r>
      <w:r w:rsidR="00C04FB3">
        <w:rPr>
          <w:sz w:val="20"/>
          <w:lang w:val="pl-PL"/>
        </w:rPr>
        <w:t xml:space="preserve"> poświęcić około 2 godzinę i 15</w:t>
      </w:r>
      <w:r w:rsidR="000B057D">
        <w:rPr>
          <w:sz w:val="20"/>
          <w:lang w:val="pl-PL"/>
        </w:rPr>
        <w:t xml:space="preserve"> minut każdego dnia roboczego</w:t>
      </w:r>
      <w:r>
        <w:rPr>
          <w:sz w:val="20"/>
          <w:lang w:val="pl-PL"/>
        </w:rPr>
        <w:t xml:space="preserve"> (przy konserwatywnym założeniu, że na jedną stronę potrzeba średnio 2 minut)</w:t>
      </w:r>
      <w:r w:rsidR="000B057D">
        <w:rPr>
          <w:sz w:val="20"/>
          <w:lang w:val="pl-PL"/>
        </w:rPr>
        <w:t xml:space="preserve">. </w:t>
      </w:r>
      <w:r w:rsidR="007769A1">
        <w:rPr>
          <w:sz w:val="20"/>
          <w:lang w:val="pl-PL"/>
        </w:rPr>
        <w:t>Dziennik ustaw opublikował w I półroczu 2018 roku 808 ak</w:t>
      </w:r>
      <w:r w:rsidR="00136673">
        <w:rPr>
          <w:sz w:val="20"/>
          <w:lang w:val="pl-PL"/>
        </w:rPr>
        <w:t>tów prawnych. Oznacza to, że</w:t>
      </w:r>
      <w:r w:rsidR="007769A1">
        <w:rPr>
          <w:sz w:val="20"/>
          <w:lang w:val="pl-PL"/>
        </w:rPr>
        <w:t xml:space="preserve"> </w:t>
      </w:r>
      <w:r w:rsidR="00136673">
        <w:rPr>
          <w:sz w:val="20"/>
          <w:lang w:val="pl-PL"/>
        </w:rPr>
        <w:t>o</w:t>
      </w:r>
      <w:r w:rsidR="000B057D">
        <w:rPr>
          <w:sz w:val="20"/>
          <w:lang w:val="pl-PL"/>
        </w:rPr>
        <w:t xml:space="preserve">becnie każdego dnia wchodzą w życie </w:t>
      </w:r>
      <w:r w:rsidR="007769A1">
        <w:rPr>
          <w:sz w:val="20"/>
          <w:lang w:val="pl-PL"/>
        </w:rPr>
        <w:t xml:space="preserve">średnio </w:t>
      </w:r>
      <w:r w:rsidR="000B057D">
        <w:rPr>
          <w:sz w:val="20"/>
          <w:lang w:val="pl-PL"/>
        </w:rPr>
        <w:t>cztery nowe akty prawne</w:t>
      </w:r>
      <w:r w:rsidR="007769A1">
        <w:rPr>
          <w:sz w:val="20"/>
          <w:lang w:val="pl-PL"/>
        </w:rPr>
        <w:t xml:space="preserve"> najwyższego urzędu</w:t>
      </w:r>
      <w:r w:rsidR="00BD000B">
        <w:rPr>
          <w:sz w:val="20"/>
          <w:lang w:val="pl-PL"/>
        </w:rPr>
        <w:t>.</w:t>
      </w:r>
      <w:r w:rsidR="00E37C87">
        <w:rPr>
          <w:sz w:val="20"/>
          <w:lang w:val="pl-PL"/>
        </w:rPr>
        <w:t xml:space="preserve"> </w:t>
      </w:r>
      <w:r w:rsidR="00C04FB3">
        <w:rPr>
          <w:sz w:val="20"/>
          <w:lang w:val="pl-PL"/>
        </w:rPr>
        <w:t>Są to, co prawda, o trzy mniej akty niż w roku poprzednim, ale nadal materia wchodzącego w życie nowego prawa jest nadmierna, by obywatele i przedsiębiorcy byli w stanie z tym prawem się zapoznać</w:t>
      </w:r>
      <w:r w:rsidR="00136673">
        <w:rPr>
          <w:sz w:val="20"/>
          <w:lang w:val="pl-PL"/>
        </w:rPr>
        <w:t>.</w:t>
      </w:r>
    </w:p>
    <w:p w:rsidR="00D8712F" w:rsidRDefault="0071541C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7487C58" wp14:editId="52D6EB06">
            <wp:simplePos x="0" y="0"/>
            <wp:positionH relativeFrom="column">
              <wp:posOffset>-120650</wp:posOffset>
            </wp:positionH>
            <wp:positionV relativeFrom="paragraph">
              <wp:posOffset>253365</wp:posOffset>
            </wp:positionV>
            <wp:extent cx="660400" cy="61595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2F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23D87" w:rsidRDefault="00C04FB3" w:rsidP="00D8712F">
      <w:pPr>
        <w:pStyle w:val="Tekstpodstawowy"/>
        <w:spacing w:after="0" w:line="360" w:lineRule="auto"/>
        <w:rPr>
          <w:i/>
          <w:sz w:val="20"/>
          <w:lang w:val="pl-PL"/>
        </w:rPr>
      </w:pPr>
      <w:r>
        <w:rPr>
          <w:i/>
          <w:sz w:val="20"/>
          <w:lang w:val="pl-PL"/>
        </w:rPr>
        <w:t>Nie ulega wątpliwości, że p</w:t>
      </w:r>
      <w:r w:rsidR="00566DFB">
        <w:rPr>
          <w:i/>
          <w:sz w:val="20"/>
          <w:lang w:val="pl-PL"/>
        </w:rPr>
        <w:t>rawo powinno</w:t>
      </w:r>
      <w:r w:rsidR="00CD0787">
        <w:rPr>
          <w:i/>
          <w:sz w:val="20"/>
          <w:lang w:val="pl-PL"/>
        </w:rPr>
        <w:t xml:space="preserve"> być zmieniane</w:t>
      </w:r>
      <w:r>
        <w:rPr>
          <w:i/>
          <w:sz w:val="20"/>
          <w:lang w:val="pl-PL"/>
        </w:rPr>
        <w:t>,</w:t>
      </w:r>
      <w:r w:rsidR="00CD0787">
        <w:rPr>
          <w:i/>
          <w:sz w:val="20"/>
          <w:lang w:val="pl-PL"/>
        </w:rPr>
        <w:t xml:space="preserve"> </w:t>
      </w:r>
      <w:r w:rsidR="00566DFB">
        <w:rPr>
          <w:i/>
          <w:sz w:val="20"/>
          <w:lang w:val="pl-PL"/>
        </w:rPr>
        <w:t>aby</w:t>
      </w:r>
      <w:r w:rsidR="00CD0787">
        <w:rPr>
          <w:i/>
          <w:sz w:val="20"/>
          <w:lang w:val="pl-PL"/>
        </w:rPr>
        <w:t xml:space="preserve"> odpowiednio</w:t>
      </w:r>
      <w:r w:rsidR="00566DFB">
        <w:rPr>
          <w:i/>
          <w:sz w:val="20"/>
          <w:lang w:val="pl-PL"/>
        </w:rPr>
        <w:t xml:space="preserve"> </w:t>
      </w:r>
      <w:r w:rsidR="00785E49" w:rsidRPr="00B63757">
        <w:rPr>
          <w:i/>
          <w:sz w:val="20"/>
          <w:lang w:val="pl-PL"/>
        </w:rPr>
        <w:t xml:space="preserve">dostosować je do zmieniającej się </w:t>
      </w:r>
      <w:r w:rsidR="00C568CA" w:rsidRPr="00B63757">
        <w:rPr>
          <w:i/>
          <w:sz w:val="20"/>
          <w:lang w:val="pl-PL"/>
        </w:rPr>
        <w:t>rzeczywistości oraz</w:t>
      </w:r>
      <w:r w:rsidR="00CD0787">
        <w:rPr>
          <w:i/>
          <w:sz w:val="20"/>
          <w:lang w:val="pl-PL"/>
        </w:rPr>
        <w:t xml:space="preserve"> aby poprawiać istniejące, źle skonstruowane przepisy</w:t>
      </w:r>
      <w:r w:rsidR="00C568CA" w:rsidRPr="00B63757">
        <w:rPr>
          <w:i/>
          <w:sz w:val="20"/>
          <w:lang w:val="pl-PL"/>
        </w:rPr>
        <w:t xml:space="preserve">. Nie </w:t>
      </w:r>
      <w:r w:rsidR="00BD000B">
        <w:rPr>
          <w:i/>
          <w:sz w:val="20"/>
          <w:lang w:val="pl-PL"/>
        </w:rPr>
        <w:t xml:space="preserve">można jednak tworzyć </w:t>
      </w:r>
      <w:r w:rsidR="00B72A99">
        <w:rPr>
          <w:i/>
          <w:sz w:val="20"/>
          <w:lang w:val="pl-PL"/>
        </w:rPr>
        <w:t>coraz to nowszych aktów prawnych w takim</w:t>
      </w:r>
      <w:r w:rsidR="00C568CA" w:rsidRPr="00B63757">
        <w:rPr>
          <w:i/>
          <w:sz w:val="20"/>
          <w:lang w:val="pl-PL"/>
        </w:rPr>
        <w:t xml:space="preserve"> pośpiechu</w:t>
      </w:r>
      <w:r w:rsidR="00B72A99">
        <w:rPr>
          <w:i/>
          <w:sz w:val="20"/>
          <w:lang w:val="pl-PL"/>
        </w:rPr>
        <w:t xml:space="preserve"> </w:t>
      </w:r>
      <w:r w:rsidR="00BD000B">
        <w:rPr>
          <w:sz w:val="20"/>
          <w:lang w:val="pl-PL"/>
        </w:rPr>
        <w:t>– mówi Przemysław Polaczek.</w:t>
      </w:r>
      <w:r>
        <w:rPr>
          <w:i/>
          <w:sz w:val="20"/>
          <w:lang w:val="pl-PL"/>
        </w:rPr>
        <w:t xml:space="preserve"> U</w:t>
      </w:r>
      <w:r w:rsidR="00BD000B">
        <w:rPr>
          <w:i/>
          <w:sz w:val="20"/>
          <w:lang w:val="pl-PL"/>
        </w:rPr>
        <w:t>staw</w:t>
      </w:r>
      <w:r w:rsidR="00B72A99">
        <w:rPr>
          <w:i/>
          <w:sz w:val="20"/>
          <w:lang w:val="pl-PL"/>
        </w:rPr>
        <w:t>y</w:t>
      </w:r>
      <w:r>
        <w:rPr>
          <w:i/>
          <w:sz w:val="20"/>
          <w:lang w:val="pl-PL"/>
        </w:rPr>
        <w:t xml:space="preserve"> nadal</w:t>
      </w:r>
      <w:r w:rsidR="00B72A99">
        <w:rPr>
          <w:i/>
          <w:sz w:val="20"/>
          <w:lang w:val="pl-PL"/>
        </w:rPr>
        <w:t xml:space="preserve"> przygotowywane są często bez</w:t>
      </w:r>
      <w:r w:rsidR="00CB7BF7">
        <w:rPr>
          <w:i/>
          <w:sz w:val="20"/>
          <w:lang w:val="pl-PL"/>
        </w:rPr>
        <w:t xml:space="preserve"> </w:t>
      </w:r>
      <w:r w:rsidR="00FE2AA7">
        <w:rPr>
          <w:i/>
          <w:sz w:val="20"/>
          <w:lang w:val="pl-PL"/>
        </w:rPr>
        <w:t xml:space="preserve">niezbędnych </w:t>
      </w:r>
      <w:r w:rsidR="00CB7BF7">
        <w:rPr>
          <w:i/>
          <w:sz w:val="20"/>
          <w:lang w:val="pl-PL"/>
        </w:rPr>
        <w:t xml:space="preserve">konsultacji </w:t>
      </w:r>
      <w:r w:rsidR="00FE2AA7">
        <w:rPr>
          <w:i/>
          <w:sz w:val="20"/>
          <w:lang w:val="pl-PL"/>
        </w:rPr>
        <w:t>społecznych</w:t>
      </w:r>
      <w:r w:rsidR="00CB7BF7">
        <w:rPr>
          <w:i/>
          <w:sz w:val="20"/>
          <w:lang w:val="pl-PL"/>
        </w:rPr>
        <w:t xml:space="preserve"> i</w:t>
      </w:r>
      <w:r w:rsidR="00B72A99">
        <w:rPr>
          <w:i/>
          <w:sz w:val="20"/>
          <w:lang w:val="pl-PL"/>
        </w:rPr>
        <w:t xml:space="preserve"> bez faktycznej dyskusji,</w:t>
      </w:r>
      <w:r w:rsidR="00BD000B">
        <w:rPr>
          <w:i/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dodatkowo </w:t>
      </w:r>
      <w:r w:rsidR="00FE2AA7">
        <w:rPr>
          <w:i/>
          <w:sz w:val="20"/>
          <w:lang w:val="pl-PL"/>
        </w:rPr>
        <w:t xml:space="preserve">często </w:t>
      </w:r>
      <w:r w:rsidR="00BD000B">
        <w:rPr>
          <w:i/>
          <w:sz w:val="20"/>
          <w:lang w:val="pl-PL"/>
        </w:rPr>
        <w:t>z błędami merytorycznymi i prawnymi oraz bez poszanowania procedur legislacyjnych</w:t>
      </w:r>
      <w:r w:rsidR="00F57313">
        <w:rPr>
          <w:i/>
          <w:sz w:val="20"/>
          <w:lang w:val="pl-PL"/>
        </w:rPr>
        <w:t xml:space="preserve"> </w:t>
      </w:r>
      <w:r w:rsidR="00BD000B">
        <w:rPr>
          <w:i/>
          <w:sz w:val="20"/>
          <w:lang w:val="pl-PL"/>
        </w:rPr>
        <w:t xml:space="preserve">– </w:t>
      </w:r>
      <w:r w:rsidR="00BD000B" w:rsidRPr="00BD000B">
        <w:rPr>
          <w:sz w:val="20"/>
          <w:lang w:val="pl-PL"/>
        </w:rPr>
        <w:t>dodaje</w:t>
      </w:r>
      <w:r w:rsidR="00BD000B">
        <w:rPr>
          <w:sz w:val="20"/>
          <w:lang w:val="pl-PL"/>
        </w:rPr>
        <w:t xml:space="preserve"> </w:t>
      </w:r>
      <w:r w:rsidR="00F57313">
        <w:rPr>
          <w:sz w:val="20"/>
          <w:lang w:val="pl-PL"/>
        </w:rPr>
        <w:t>Partner Zarządzający w</w:t>
      </w:r>
      <w:r w:rsidR="00BD000B">
        <w:rPr>
          <w:sz w:val="20"/>
          <w:lang w:val="pl-PL"/>
        </w:rPr>
        <w:t xml:space="preserve"> Grant Thornton</w:t>
      </w:r>
      <w:r w:rsidR="00BD000B">
        <w:rPr>
          <w:i/>
          <w:sz w:val="20"/>
          <w:lang w:val="pl-PL"/>
        </w:rPr>
        <w:t>.</w:t>
      </w:r>
      <w:r w:rsidR="00486D88">
        <w:rPr>
          <w:i/>
          <w:sz w:val="20"/>
          <w:lang w:val="pl-PL"/>
        </w:rPr>
        <w:t xml:space="preserve"> </w:t>
      </w:r>
    </w:p>
    <w:p w:rsidR="00D8712F" w:rsidRPr="00BD000B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04FB3" w:rsidRDefault="00C04FB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Pr="0048296D" w:rsidRDefault="0048296D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48296D">
        <w:rPr>
          <w:rFonts w:eastAsia="Calibri" w:cstheme="minorHAnsi"/>
          <w:sz w:val="20"/>
          <w:lang w:val="pl-PL"/>
        </w:rPr>
        <w:t xml:space="preserve">Wyniki badań prowadzonych w ramach projektu „Barometr stabilności otoczenia prawnego w polskiej gospodarce” na bieżąco, raz na kwartał, prezentowane są na stronie </w:t>
      </w:r>
      <w:hyperlink r:id="rId9" w:history="1">
        <w:r w:rsidRPr="0048296D">
          <w:rPr>
            <w:rStyle w:val="Hipercze"/>
            <w:rFonts w:eastAsia="Calibri" w:cstheme="minorHAnsi"/>
            <w:b/>
            <w:color w:val="7030A0"/>
            <w:sz w:val="20"/>
            <w:lang w:val="pl-PL"/>
          </w:rPr>
          <w:t>BarometrPrawa.pl</w:t>
        </w:r>
      </w:hyperlink>
      <w:r w:rsidRPr="0048296D">
        <w:rPr>
          <w:rFonts w:eastAsia="Calibri" w:cstheme="minorHAnsi"/>
          <w:color w:val="7030A0"/>
          <w:sz w:val="20"/>
          <w:lang w:val="pl-PL"/>
        </w:rPr>
        <w:t>.</w:t>
      </w:r>
      <w:r w:rsidRPr="0048296D">
        <w:rPr>
          <w:rFonts w:eastAsia="Calibri" w:cstheme="minorHAnsi"/>
          <w:sz w:val="20"/>
          <w:lang w:val="pl-PL"/>
        </w:rPr>
        <w:t xml:space="preserve"> Jest to swoisty monitoring chwiejności polskiego systemu prawnego – inicjatywa społeczna podobna do licznika długu publicznego, stworzonego przez Leszka Balcerowicza. Omawiane są tam również najważniejsze z punktu widzenia pracodawców ostatnie zmiany w prawie. Zachęcamy do odwiedzania tej strony.</w:t>
      </w:r>
    </w:p>
    <w:p w:rsidR="000C4938" w:rsidRDefault="000C4938" w:rsidP="00D8712F">
      <w:pPr>
        <w:pStyle w:val="Tekstpodstawowy"/>
        <w:spacing w:after="100" w:afterAutospacing="1" w:line="360" w:lineRule="auto"/>
        <w:rPr>
          <w:sz w:val="20"/>
          <w:lang w:val="pl-PL"/>
        </w:rPr>
      </w:pPr>
    </w:p>
    <w:p w:rsidR="00CB7BF7" w:rsidRDefault="00CB7BF7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AE0450" w:rsidRDefault="000C4938" w:rsidP="00D8712F">
      <w:pPr>
        <w:pStyle w:val="Tekstpodstawowy"/>
        <w:spacing w:after="0"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- koniec </w:t>
      </w:r>
      <w:r w:rsidR="00726ADE">
        <w:rPr>
          <w:sz w:val="20"/>
          <w:lang w:val="pl-PL"/>
        </w:rPr>
        <w:t>-</w:t>
      </w:r>
    </w:p>
    <w:p w:rsidR="00726ADE" w:rsidRDefault="00726ADE" w:rsidP="00726ADE">
      <w:pPr>
        <w:pStyle w:val="Tekstpodstawowy"/>
        <w:jc w:val="center"/>
        <w:rPr>
          <w:sz w:val="20"/>
          <w:lang w:val="pl-PL"/>
        </w:rPr>
      </w:pPr>
    </w:p>
    <w:p w:rsidR="00CB7BF7" w:rsidRPr="00726ADE" w:rsidRDefault="00CB7BF7" w:rsidP="00726ADE">
      <w:pPr>
        <w:pStyle w:val="Tekstpodstawowy"/>
        <w:jc w:val="center"/>
        <w:rPr>
          <w:sz w:val="20"/>
          <w:lang w:val="pl-PL"/>
        </w:rPr>
      </w:pPr>
    </w:p>
    <w:p w:rsidR="00B87565" w:rsidRPr="000C4938" w:rsidRDefault="00AE0450" w:rsidP="00B87565">
      <w:pPr>
        <w:pStyle w:val="Nagwek2"/>
        <w:rPr>
          <w:lang w:val="pl-PL"/>
        </w:rPr>
      </w:pPr>
      <w:r w:rsidRPr="000C4938">
        <w:rPr>
          <w:lang w:val="pl-PL"/>
        </w:rPr>
        <w:t>Zachęcamy do kontaktu</w:t>
      </w:r>
      <w:r w:rsidR="00B87565" w:rsidRPr="000C4938">
        <w:rPr>
          <w:lang w:val="pl-PL"/>
        </w:rPr>
        <w:t>:</w:t>
      </w:r>
    </w:p>
    <w:p w:rsidR="00B87565" w:rsidRPr="000C4938" w:rsidRDefault="00AE0450" w:rsidP="00B87565">
      <w:pPr>
        <w:rPr>
          <w:b/>
          <w:lang w:val="pl-PL"/>
        </w:rPr>
      </w:pPr>
      <w:r w:rsidRPr="000C4938">
        <w:rPr>
          <w:b/>
          <w:lang w:val="pl-PL"/>
        </w:rPr>
        <w:t>Jacek Kowalczyk</w:t>
      </w:r>
    </w:p>
    <w:p w:rsidR="00043B07" w:rsidRPr="008556C4" w:rsidRDefault="00043B07" w:rsidP="00B87565">
      <w:pPr>
        <w:rPr>
          <w:lang w:val="pl-PL"/>
        </w:rPr>
      </w:pPr>
      <w:r w:rsidRPr="008556C4">
        <w:rPr>
          <w:lang w:val="pl-PL"/>
        </w:rPr>
        <w:t>Dyrektor Marketingu i PR</w:t>
      </w:r>
    </w:p>
    <w:p w:rsidR="00AE0450" w:rsidRPr="008556C4" w:rsidRDefault="00AE0450" w:rsidP="00B87565">
      <w:pPr>
        <w:rPr>
          <w:lang w:val="pl-PL"/>
        </w:rPr>
      </w:pPr>
      <w:r w:rsidRPr="008556C4">
        <w:rPr>
          <w:lang w:val="pl-PL"/>
        </w:rPr>
        <w:t>Grant Thornton</w:t>
      </w:r>
    </w:p>
    <w:p w:rsidR="00B87565" w:rsidRPr="008556C4" w:rsidRDefault="00B87565" w:rsidP="00B87565">
      <w:pPr>
        <w:rPr>
          <w:b/>
          <w:lang w:val="pl-PL"/>
        </w:rPr>
      </w:pPr>
      <w:r w:rsidRPr="008556C4">
        <w:rPr>
          <w:b/>
          <w:lang w:val="pl-PL"/>
        </w:rPr>
        <w:t>T</w:t>
      </w:r>
      <w:r w:rsidR="00AE0450" w:rsidRPr="008556C4">
        <w:rPr>
          <w:b/>
          <w:lang w:val="pl-PL"/>
        </w:rPr>
        <w:t>:</w:t>
      </w:r>
      <w:r w:rsidRPr="008556C4">
        <w:rPr>
          <w:b/>
          <w:lang w:val="pl-PL"/>
        </w:rPr>
        <w:t xml:space="preserve"> </w:t>
      </w:r>
      <w:r w:rsidR="00AE0450" w:rsidRPr="008556C4">
        <w:rPr>
          <w:lang w:val="pl-PL"/>
        </w:rPr>
        <w:t>505 024 168, 22 205 48 41</w:t>
      </w:r>
    </w:p>
    <w:p w:rsidR="00AE0450" w:rsidRPr="008556C4" w:rsidRDefault="00AE0450" w:rsidP="00B55FA2">
      <w:pPr>
        <w:rPr>
          <w:b/>
          <w:lang w:val="pl-PL"/>
        </w:rPr>
      </w:pPr>
      <w:r w:rsidRPr="008556C4">
        <w:rPr>
          <w:b/>
          <w:lang w:val="pl-PL"/>
        </w:rPr>
        <w:t xml:space="preserve">E: </w:t>
      </w:r>
      <w:r w:rsidRPr="008556C4">
        <w:rPr>
          <w:lang w:val="pl-PL"/>
        </w:rPr>
        <w:t>jacek.kowalczyk@pl.gt.com</w:t>
      </w:r>
    </w:p>
    <w:p w:rsidR="00AE0450" w:rsidRPr="008556C4" w:rsidRDefault="00AE0450" w:rsidP="00B87565">
      <w:pPr>
        <w:pStyle w:val="Nagwek3"/>
        <w:rPr>
          <w:lang w:val="pl-PL"/>
        </w:rPr>
      </w:pPr>
    </w:p>
    <w:p w:rsidR="00B87565" w:rsidRPr="008556C4" w:rsidRDefault="000C4938" w:rsidP="00B87565">
      <w:pPr>
        <w:pStyle w:val="Nagwek4"/>
        <w:rPr>
          <w:b/>
          <w:lang w:val="pl-PL"/>
        </w:rPr>
      </w:pPr>
      <w:r w:rsidRPr="008556C4">
        <w:rPr>
          <w:b/>
          <w:lang w:val="pl-PL"/>
        </w:rPr>
        <w:t>O</w:t>
      </w:r>
      <w:r w:rsidR="00844810" w:rsidRPr="008556C4">
        <w:rPr>
          <w:b/>
          <w:lang w:val="pl-PL"/>
        </w:rPr>
        <w:t xml:space="preserve"> Grant Thornton</w:t>
      </w:r>
    </w:p>
    <w:p w:rsidR="000C4938" w:rsidRPr="000C4938" w:rsidRDefault="000C4938" w:rsidP="000C4938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doświadczenie i zaangażowanie ponad 3 000 partnerów oraz 42 000 pracowników Grant Thornton dostępne są dla klientów w ponad 130 </w:t>
      </w:r>
      <w:r w:rsidR="0071541C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0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0C4938" w:rsidRPr="000C4938" w:rsidRDefault="000C4938" w:rsidP="000C4938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i doradcze, oferujące usługi poświadczające, doradztwa podatkowego, a także udzielające specjalistycznych porad dla przedsiębiorców prywatnych i jednostek interesu publicznego. Więcej informacji na </w:t>
      </w:r>
      <w:hyperlink r:id="rId11" w:history="1">
        <w:r w:rsidRPr="000C4938">
          <w:rPr>
            <w:rStyle w:val="Hipercze"/>
            <w:lang w:val="pl-PL"/>
          </w:rPr>
          <w:t>www.gti.org</w:t>
        </w:r>
      </w:hyperlink>
    </w:p>
    <w:p w:rsidR="00C0271B" w:rsidRPr="00746775" w:rsidRDefault="00C0271B" w:rsidP="00302988">
      <w:pPr>
        <w:pStyle w:val="Tekstpodstawowy"/>
      </w:pPr>
    </w:p>
    <w:sectPr w:rsidR="00C0271B" w:rsidRPr="00746775" w:rsidSect="000C493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35" w:rsidRDefault="00645F35">
      <w:r>
        <w:separator/>
      </w:r>
    </w:p>
  </w:endnote>
  <w:endnote w:type="continuationSeparator" w:id="0">
    <w:p w:rsidR="00645F35" w:rsidRDefault="0064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A211E0" w:rsidRDefault="00A211E0" w:rsidP="00695784">
    <w:pPr>
      <w:pStyle w:val="Stopka"/>
      <w:tabs>
        <w:tab w:val="clear" w:pos="8636"/>
        <w:tab w:val="right" w:pos="10415"/>
      </w:tabs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0806B4" w:rsidRPr="00D01381">
      <w:rPr>
        <w:rStyle w:val="Numerstrony"/>
      </w:rPr>
      <w:fldChar w:fldCharType="begin"/>
    </w:r>
    <w:r w:rsidR="000806B4" w:rsidRPr="00D01381">
      <w:rPr>
        <w:rStyle w:val="Numerstrony"/>
      </w:rPr>
      <w:instrText xml:space="preserve"> PAGE   \* MERGEFORMAT </w:instrText>
    </w:r>
    <w:r w:rsidR="000806B4" w:rsidRPr="00D01381">
      <w:rPr>
        <w:rStyle w:val="Numerstrony"/>
      </w:rPr>
      <w:fldChar w:fldCharType="separate"/>
    </w:r>
    <w:r w:rsidR="005A5CEC">
      <w:rPr>
        <w:rStyle w:val="Numerstrony"/>
        <w:noProof/>
      </w:rPr>
      <w:t>4</w:t>
    </w:r>
    <w:r w:rsidR="000806B4" w:rsidRPr="00D01381">
      <w:rPr>
        <w:rStyle w:val="Numerstrony"/>
      </w:rPr>
      <w:fldChar w:fldCharType="end"/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6533EA" wp14:editId="7B855692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93D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695784" w:rsidRDefault="00695784" w:rsidP="00695784">
    <w:pPr>
      <w:pStyle w:val="Stopka"/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D01381" w:rsidRPr="00D01381">
      <w:rPr>
        <w:noProof/>
        <w:lang w:eastAsia="en-GB"/>
      </w:rPr>
      <w:t xml:space="preserve"> </w:t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D04B6E" wp14:editId="7CEA755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2FA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35" w:rsidRDefault="00645F35">
      <w:bookmarkStart w:id="0" w:name="_Hlk482343305"/>
      <w:bookmarkEnd w:id="0"/>
      <w:r>
        <w:separator/>
      </w:r>
    </w:p>
  </w:footnote>
  <w:footnote w:type="continuationSeparator" w:id="0">
    <w:p w:rsidR="00645F35" w:rsidRDefault="0064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142F32" w:rsidP="000806B4">
    <w:pPr>
      <w:pStyle w:val="Nagwek"/>
      <w:tabs>
        <w:tab w:val="clear" w:pos="8562"/>
        <w:tab w:val="right" w:pos="10348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114300</wp:posOffset>
          </wp:positionV>
          <wp:extent cx="2040890" cy="1041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me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285750</wp:posOffset>
          </wp:positionV>
          <wp:extent cx="2035810" cy="627380"/>
          <wp:effectExtent l="0" t="0" r="2540" b="127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953135"/>
              <wp:effectExtent l="0" t="0" r="17780" b="184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E0" w:firstRow="1" w:lastRow="1" w:firstColumn="1" w:lastColumn="0" w:noHBand="0" w:noVBand="1"/>
                          </w:tblPr>
                          <w:tblGrid>
                            <w:gridCol w:w="6117"/>
                          </w:tblGrid>
                          <w:tr w:rsidR="002A346F" w:rsidTr="00AE0450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7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rrQ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E0" w:firstRow="1" w:lastRow="1" w:firstColumn="1" w:lastColumn="0" w:noHBand="0" w:noVBand="1"/>
                    </w:tblPr>
                    <w:tblGrid>
                      <w:gridCol w:w="6117"/>
                    </w:tblGrid>
                    <w:tr w:rsidR="002A346F" w:rsidTr="00AE0450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10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</w:p>
  <w:p w:rsidR="002A346F" w:rsidRPr="009D3931" w:rsidRDefault="002A346F" w:rsidP="002A346F">
    <w:pPr>
      <w:pStyle w:val="Nagwek"/>
    </w:pP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7F3C0B"/>
    <w:rsid w:val="00043B07"/>
    <w:rsid w:val="00043CEE"/>
    <w:rsid w:val="000701DD"/>
    <w:rsid w:val="00070700"/>
    <w:rsid w:val="00075731"/>
    <w:rsid w:val="000806B4"/>
    <w:rsid w:val="00080BC4"/>
    <w:rsid w:val="000A4BAF"/>
    <w:rsid w:val="000A68FB"/>
    <w:rsid w:val="000B057D"/>
    <w:rsid w:val="000B0ED9"/>
    <w:rsid w:val="000B475C"/>
    <w:rsid w:val="000C1BD5"/>
    <w:rsid w:val="000C4938"/>
    <w:rsid w:val="000D06D5"/>
    <w:rsid w:val="000D16D9"/>
    <w:rsid w:val="000D618C"/>
    <w:rsid w:val="000E05DA"/>
    <w:rsid w:val="000E7B26"/>
    <w:rsid w:val="000F4735"/>
    <w:rsid w:val="00111187"/>
    <w:rsid w:val="001237E5"/>
    <w:rsid w:val="00125D84"/>
    <w:rsid w:val="001260ED"/>
    <w:rsid w:val="00136673"/>
    <w:rsid w:val="00142F32"/>
    <w:rsid w:val="00147730"/>
    <w:rsid w:val="00150A84"/>
    <w:rsid w:val="00157D72"/>
    <w:rsid w:val="001611CC"/>
    <w:rsid w:val="00170523"/>
    <w:rsid w:val="001878B4"/>
    <w:rsid w:val="001A6EA7"/>
    <w:rsid w:val="001B3754"/>
    <w:rsid w:val="001B475A"/>
    <w:rsid w:val="001B565D"/>
    <w:rsid w:val="001D0268"/>
    <w:rsid w:val="001D1A4F"/>
    <w:rsid w:val="001D4ECE"/>
    <w:rsid w:val="001E511F"/>
    <w:rsid w:val="001F640F"/>
    <w:rsid w:val="00214BDC"/>
    <w:rsid w:val="00215284"/>
    <w:rsid w:val="00217CF3"/>
    <w:rsid w:val="0023771B"/>
    <w:rsid w:val="00253326"/>
    <w:rsid w:val="00256DE5"/>
    <w:rsid w:val="00277011"/>
    <w:rsid w:val="00277D6E"/>
    <w:rsid w:val="00285A51"/>
    <w:rsid w:val="002860E1"/>
    <w:rsid w:val="002A2778"/>
    <w:rsid w:val="002A346F"/>
    <w:rsid w:val="002B2BEF"/>
    <w:rsid w:val="002B57EC"/>
    <w:rsid w:val="002C366F"/>
    <w:rsid w:val="002C5EBF"/>
    <w:rsid w:val="002D2F38"/>
    <w:rsid w:val="002D6C36"/>
    <w:rsid w:val="002E6DE5"/>
    <w:rsid w:val="00302988"/>
    <w:rsid w:val="00320D93"/>
    <w:rsid w:val="003257A9"/>
    <w:rsid w:val="00327CD1"/>
    <w:rsid w:val="00346845"/>
    <w:rsid w:val="00361CB6"/>
    <w:rsid w:val="00367A05"/>
    <w:rsid w:val="00377BC2"/>
    <w:rsid w:val="00381B5F"/>
    <w:rsid w:val="00387218"/>
    <w:rsid w:val="00393F03"/>
    <w:rsid w:val="003D5290"/>
    <w:rsid w:val="00413761"/>
    <w:rsid w:val="00416571"/>
    <w:rsid w:val="00421866"/>
    <w:rsid w:val="004478E4"/>
    <w:rsid w:val="00452223"/>
    <w:rsid w:val="00454B89"/>
    <w:rsid w:val="00454EE9"/>
    <w:rsid w:val="00460B37"/>
    <w:rsid w:val="0048296D"/>
    <w:rsid w:val="004839D9"/>
    <w:rsid w:val="00486D88"/>
    <w:rsid w:val="004A3A67"/>
    <w:rsid w:val="004A4534"/>
    <w:rsid w:val="004C2F65"/>
    <w:rsid w:val="004C3BDF"/>
    <w:rsid w:val="004E55EF"/>
    <w:rsid w:val="004F55CE"/>
    <w:rsid w:val="00503485"/>
    <w:rsid w:val="005200B4"/>
    <w:rsid w:val="005220CB"/>
    <w:rsid w:val="00556308"/>
    <w:rsid w:val="00565EE2"/>
    <w:rsid w:val="00566DFB"/>
    <w:rsid w:val="005713AD"/>
    <w:rsid w:val="005A2D44"/>
    <w:rsid w:val="005A5CEC"/>
    <w:rsid w:val="005A7B1F"/>
    <w:rsid w:val="005B105D"/>
    <w:rsid w:val="005C01A8"/>
    <w:rsid w:val="005E278A"/>
    <w:rsid w:val="005E4EF5"/>
    <w:rsid w:val="005F575C"/>
    <w:rsid w:val="005F7CD0"/>
    <w:rsid w:val="00610ED7"/>
    <w:rsid w:val="0062048C"/>
    <w:rsid w:val="00621FC6"/>
    <w:rsid w:val="00625597"/>
    <w:rsid w:val="00635CE5"/>
    <w:rsid w:val="00642404"/>
    <w:rsid w:val="00645F35"/>
    <w:rsid w:val="00654DC1"/>
    <w:rsid w:val="006661DB"/>
    <w:rsid w:val="00686BF8"/>
    <w:rsid w:val="00695784"/>
    <w:rsid w:val="006A72A4"/>
    <w:rsid w:val="006D75F0"/>
    <w:rsid w:val="006E58E5"/>
    <w:rsid w:val="006F016B"/>
    <w:rsid w:val="00703716"/>
    <w:rsid w:val="00710BA8"/>
    <w:rsid w:val="0071541C"/>
    <w:rsid w:val="00726ADE"/>
    <w:rsid w:val="0072791F"/>
    <w:rsid w:val="0073386D"/>
    <w:rsid w:val="00746775"/>
    <w:rsid w:val="00753038"/>
    <w:rsid w:val="007578FC"/>
    <w:rsid w:val="00760EC0"/>
    <w:rsid w:val="007618B5"/>
    <w:rsid w:val="00771DEC"/>
    <w:rsid w:val="007769A1"/>
    <w:rsid w:val="00784FF6"/>
    <w:rsid w:val="007856A9"/>
    <w:rsid w:val="00785E49"/>
    <w:rsid w:val="007A294A"/>
    <w:rsid w:val="007B27A6"/>
    <w:rsid w:val="007B4C13"/>
    <w:rsid w:val="007D2ED2"/>
    <w:rsid w:val="007D6C93"/>
    <w:rsid w:val="007E66D0"/>
    <w:rsid w:val="007F3C0B"/>
    <w:rsid w:val="00812F8E"/>
    <w:rsid w:val="00813F04"/>
    <w:rsid w:val="00814D12"/>
    <w:rsid w:val="00814DDF"/>
    <w:rsid w:val="00844810"/>
    <w:rsid w:val="00851A1A"/>
    <w:rsid w:val="008556C4"/>
    <w:rsid w:val="008600CC"/>
    <w:rsid w:val="00866AAB"/>
    <w:rsid w:val="00867DA5"/>
    <w:rsid w:val="008804A2"/>
    <w:rsid w:val="008C209A"/>
    <w:rsid w:val="008D1054"/>
    <w:rsid w:val="008D455E"/>
    <w:rsid w:val="008D74D6"/>
    <w:rsid w:val="008F6165"/>
    <w:rsid w:val="009060D1"/>
    <w:rsid w:val="009212C4"/>
    <w:rsid w:val="009261A6"/>
    <w:rsid w:val="00932AD9"/>
    <w:rsid w:val="009426E2"/>
    <w:rsid w:val="009607A2"/>
    <w:rsid w:val="00963742"/>
    <w:rsid w:val="0096530C"/>
    <w:rsid w:val="00965F67"/>
    <w:rsid w:val="00966C88"/>
    <w:rsid w:val="009816B3"/>
    <w:rsid w:val="0098693F"/>
    <w:rsid w:val="00987602"/>
    <w:rsid w:val="009A6E18"/>
    <w:rsid w:val="009C2067"/>
    <w:rsid w:val="009C283F"/>
    <w:rsid w:val="009C3CB0"/>
    <w:rsid w:val="009C6571"/>
    <w:rsid w:val="009D6F6C"/>
    <w:rsid w:val="009E6EF3"/>
    <w:rsid w:val="009E7B56"/>
    <w:rsid w:val="00A01F63"/>
    <w:rsid w:val="00A17BF8"/>
    <w:rsid w:val="00A211E0"/>
    <w:rsid w:val="00A50B72"/>
    <w:rsid w:val="00A64061"/>
    <w:rsid w:val="00A84CA5"/>
    <w:rsid w:val="00A86935"/>
    <w:rsid w:val="00A90C1B"/>
    <w:rsid w:val="00A924C3"/>
    <w:rsid w:val="00AA4DA3"/>
    <w:rsid w:val="00AB5EEF"/>
    <w:rsid w:val="00AC3EC8"/>
    <w:rsid w:val="00AC6748"/>
    <w:rsid w:val="00AD053A"/>
    <w:rsid w:val="00AD14A0"/>
    <w:rsid w:val="00AD7D97"/>
    <w:rsid w:val="00AE0450"/>
    <w:rsid w:val="00AE48E5"/>
    <w:rsid w:val="00AF415D"/>
    <w:rsid w:val="00B035A1"/>
    <w:rsid w:val="00B158C4"/>
    <w:rsid w:val="00B23987"/>
    <w:rsid w:val="00B33EA0"/>
    <w:rsid w:val="00B35DE8"/>
    <w:rsid w:val="00B4319E"/>
    <w:rsid w:val="00B44D7D"/>
    <w:rsid w:val="00B54C3E"/>
    <w:rsid w:val="00B55FA2"/>
    <w:rsid w:val="00B63757"/>
    <w:rsid w:val="00B663BE"/>
    <w:rsid w:val="00B72A99"/>
    <w:rsid w:val="00B7324A"/>
    <w:rsid w:val="00B857BF"/>
    <w:rsid w:val="00B87565"/>
    <w:rsid w:val="00B91EA2"/>
    <w:rsid w:val="00BA2F71"/>
    <w:rsid w:val="00BB3FBB"/>
    <w:rsid w:val="00BD000B"/>
    <w:rsid w:val="00BD67D8"/>
    <w:rsid w:val="00BE1BA2"/>
    <w:rsid w:val="00C007BF"/>
    <w:rsid w:val="00C0271B"/>
    <w:rsid w:val="00C04FB3"/>
    <w:rsid w:val="00C100A6"/>
    <w:rsid w:val="00C14EB9"/>
    <w:rsid w:val="00C1606F"/>
    <w:rsid w:val="00C227DC"/>
    <w:rsid w:val="00C23D87"/>
    <w:rsid w:val="00C305E3"/>
    <w:rsid w:val="00C36308"/>
    <w:rsid w:val="00C43EBA"/>
    <w:rsid w:val="00C46435"/>
    <w:rsid w:val="00C47E18"/>
    <w:rsid w:val="00C54674"/>
    <w:rsid w:val="00C568CA"/>
    <w:rsid w:val="00C64B87"/>
    <w:rsid w:val="00C72B62"/>
    <w:rsid w:val="00C73F93"/>
    <w:rsid w:val="00C80A81"/>
    <w:rsid w:val="00C87ED0"/>
    <w:rsid w:val="00C925AA"/>
    <w:rsid w:val="00C94E43"/>
    <w:rsid w:val="00C96606"/>
    <w:rsid w:val="00CA42C5"/>
    <w:rsid w:val="00CB7BF7"/>
    <w:rsid w:val="00CC1A63"/>
    <w:rsid w:val="00CC3603"/>
    <w:rsid w:val="00CD0787"/>
    <w:rsid w:val="00CD0E68"/>
    <w:rsid w:val="00CD24B6"/>
    <w:rsid w:val="00CD6259"/>
    <w:rsid w:val="00CE47B3"/>
    <w:rsid w:val="00CF076A"/>
    <w:rsid w:val="00D01381"/>
    <w:rsid w:val="00D14BEE"/>
    <w:rsid w:val="00D16F2A"/>
    <w:rsid w:val="00D17968"/>
    <w:rsid w:val="00D27833"/>
    <w:rsid w:val="00D30B9E"/>
    <w:rsid w:val="00D36C60"/>
    <w:rsid w:val="00D41D52"/>
    <w:rsid w:val="00D51146"/>
    <w:rsid w:val="00D64BAE"/>
    <w:rsid w:val="00D73DE6"/>
    <w:rsid w:val="00D80C66"/>
    <w:rsid w:val="00D8712F"/>
    <w:rsid w:val="00D87FFC"/>
    <w:rsid w:val="00D9732D"/>
    <w:rsid w:val="00DA3CDE"/>
    <w:rsid w:val="00DA5B3C"/>
    <w:rsid w:val="00DA7987"/>
    <w:rsid w:val="00DB61FF"/>
    <w:rsid w:val="00DE1472"/>
    <w:rsid w:val="00DE2030"/>
    <w:rsid w:val="00DE2C37"/>
    <w:rsid w:val="00E0428A"/>
    <w:rsid w:val="00E12A0E"/>
    <w:rsid w:val="00E14D91"/>
    <w:rsid w:val="00E14F28"/>
    <w:rsid w:val="00E25946"/>
    <w:rsid w:val="00E3776A"/>
    <w:rsid w:val="00E37C87"/>
    <w:rsid w:val="00E606CF"/>
    <w:rsid w:val="00E62DFD"/>
    <w:rsid w:val="00E630EA"/>
    <w:rsid w:val="00E63519"/>
    <w:rsid w:val="00E64660"/>
    <w:rsid w:val="00E71CC8"/>
    <w:rsid w:val="00E76712"/>
    <w:rsid w:val="00E80098"/>
    <w:rsid w:val="00E84C56"/>
    <w:rsid w:val="00E94767"/>
    <w:rsid w:val="00E97F7E"/>
    <w:rsid w:val="00EA3E17"/>
    <w:rsid w:val="00EA4301"/>
    <w:rsid w:val="00EB654E"/>
    <w:rsid w:val="00EB6573"/>
    <w:rsid w:val="00EB778B"/>
    <w:rsid w:val="00EC43C6"/>
    <w:rsid w:val="00EC550B"/>
    <w:rsid w:val="00ED0E2A"/>
    <w:rsid w:val="00ED1546"/>
    <w:rsid w:val="00ED3BAF"/>
    <w:rsid w:val="00F01D78"/>
    <w:rsid w:val="00F03413"/>
    <w:rsid w:val="00F04BDC"/>
    <w:rsid w:val="00F10F54"/>
    <w:rsid w:val="00F21DF1"/>
    <w:rsid w:val="00F2527E"/>
    <w:rsid w:val="00F46B2C"/>
    <w:rsid w:val="00F57313"/>
    <w:rsid w:val="00F641F1"/>
    <w:rsid w:val="00F72D14"/>
    <w:rsid w:val="00F7669E"/>
    <w:rsid w:val="00FA68B5"/>
    <w:rsid w:val="00FA7CEE"/>
    <w:rsid w:val="00FB110F"/>
    <w:rsid w:val="00FB5C2C"/>
    <w:rsid w:val="00FD6B9C"/>
    <w:rsid w:val="00FE1702"/>
    <w:rsid w:val="00FE2AA7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FAF494-EC6F-41A6-AFF4-8BBB84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01381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t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antthornt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metrPraw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appdata\roaming\microsoft\szablony\GT_Word_Templates\A4\Press%20Release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95872310832945E-2"/>
          <c:y val="4.1420112341029824E-2"/>
          <c:w val="0.90237009001276869"/>
          <c:h val="0.85772786369597986"/>
        </c:manualLayout>
      </c:layout>
      <c:lineChart>
        <c:grouping val="standard"/>
        <c:varyColors val="0"/>
        <c:ser>
          <c:idx val="0"/>
          <c:order val="0"/>
          <c:tx>
            <c:strRef>
              <c:f>Arkusz1!$B$4</c:f>
              <c:strCache>
                <c:ptCount val="1"/>
                <c:pt idx="0">
                  <c:v>Liczba stron maszynopisu aktów prawnych przyjmowanych w danym roku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28"/>
            <c:bubble3D val="0"/>
            <c:extLst>
              <c:ext xmlns:c16="http://schemas.microsoft.com/office/drawing/2014/chart" uri="{C3380CC4-5D6E-409C-BE32-E72D297353CC}">
                <c16:uniqueId val="{00000000-4A22-447D-8A0B-E0D9BF6182E5}"/>
              </c:ext>
            </c:extLst>
          </c:dPt>
          <c:dPt>
            <c:idx val="29"/>
            <c:marker>
              <c:symbol val="auto"/>
            </c:marker>
            <c:bubble3D val="0"/>
            <c:extLst>
              <c:ext xmlns:c16="http://schemas.microsoft.com/office/drawing/2014/chart" uri="{C3380CC4-5D6E-409C-BE32-E72D297353CC}">
                <c16:uniqueId val="{00000004-4A22-447D-8A0B-E0D9BF6182E5}"/>
              </c:ext>
            </c:extLst>
          </c:dPt>
          <c:dLbls>
            <c:dLbl>
              <c:idx val="28"/>
              <c:layout>
                <c:manualLayout>
                  <c:x val="-7.4332254772316583E-8"/>
                  <c:y val="0.38000901808660331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r">
                      <a:defRPr sz="14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13 559*</a:t>
                    </a:r>
                    <a:endParaRPr lang="en-US" sz="1400" b="1"/>
                  </a:p>
                  <a:p>
                    <a:pPr algn="r">
                      <a:defRPr sz="14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700" b="0"/>
                      <a:t>(-</a:t>
                    </a:r>
                    <a:r>
                      <a:rPr lang="en-US" sz="700" b="0" baseline="0"/>
                      <a:t> 49,96</a:t>
                    </a:r>
                    <a:r>
                      <a:rPr lang="en-US" sz="700" b="0"/>
                      <a:t>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48243114909782"/>
                      <c:h val="0.113285150950334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A22-447D-8A0B-E0D9BF6182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Arkusz1!$A$5:$A$34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2018*</c:v>
                </c:pt>
              </c:strCache>
            </c:strRef>
          </c:cat>
          <c:val>
            <c:numRef>
              <c:f>Arkusz1!$B$5:$B$34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>
                  <c:v>13559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22-447D-8A0B-E0D9BF618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8863248"/>
        <c:axId val="1668863792"/>
      </c:lineChart>
      <c:catAx>
        <c:axId val="166886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8863792"/>
        <c:crosses val="autoZero"/>
        <c:auto val="1"/>
        <c:lblAlgn val="ctr"/>
        <c:lblOffset val="100"/>
        <c:noMultiLvlLbl val="0"/>
      </c:catAx>
      <c:valAx>
        <c:axId val="166886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88632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4</Pages>
  <Words>832</Words>
  <Characters>5078</Characters>
  <Application>Microsoft Office Word</Application>
  <DocSecurity>0</DocSecurity>
  <Lines>98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Mendak Aleksandra</dc:creator>
  <cp:lastModifiedBy>Kowalczyk Jacek</cp:lastModifiedBy>
  <cp:revision>3</cp:revision>
  <cp:lastPrinted>2007-08-23T16:47:00Z</cp:lastPrinted>
  <dcterms:created xsi:type="dcterms:W3CDTF">2018-07-03T13:09:00Z</dcterms:created>
  <dcterms:modified xsi:type="dcterms:W3CDTF">2018-07-06T07:57:00Z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