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92" w:rsidRDefault="00384392" w:rsidP="0083383F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</w:p>
    <w:p w:rsidR="00272546" w:rsidRPr="0083383F" w:rsidRDefault="00256B4F" w:rsidP="00654BB6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r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br/>
      </w:r>
      <w:r w:rsidR="00D81A81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 xml:space="preserve">CFO </w:t>
      </w:r>
      <w:r w:rsidR="00D20D94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czują</w:t>
      </w:r>
      <w:r w:rsidR="00D81A81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 xml:space="preserve"> zaostrzenie polityki podatkowej</w:t>
      </w:r>
    </w:p>
    <w:p w:rsidR="00D96EDA" w:rsidRDefault="00D96EDA" w:rsidP="00D96EDA">
      <w:pPr>
        <w:pStyle w:val="Tekstpodstawowy"/>
        <w:rPr>
          <w:lang w:val="pl-PL"/>
        </w:rPr>
      </w:pPr>
    </w:p>
    <w:p w:rsidR="00272546" w:rsidRDefault="00272546" w:rsidP="00D96EDA">
      <w:pPr>
        <w:pStyle w:val="Tekstpodstawowy"/>
        <w:rPr>
          <w:lang w:val="pl-PL"/>
        </w:rPr>
      </w:pPr>
    </w:p>
    <w:p w:rsidR="00256B4F" w:rsidRPr="00256B4F" w:rsidRDefault="00256B4F" w:rsidP="00D96EDA">
      <w:pPr>
        <w:pStyle w:val="Tekstpodstawowy"/>
        <w:rPr>
          <w:b/>
          <w:color w:val="FF7D1E"/>
          <w:sz w:val="22"/>
          <w:lang w:val="pl-PL"/>
        </w:rPr>
      </w:pPr>
      <w:r w:rsidRPr="00256B4F">
        <w:rPr>
          <w:b/>
          <w:color w:val="FF7D1E"/>
          <w:sz w:val="22"/>
          <w:lang w:val="pl-PL"/>
        </w:rPr>
        <w:t>Informacja prasowa</w:t>
      </w:r>
    </w:p>
    <w:p w:rsidR="00272546" w:rsidRDefault="00D20D94" w:rsidP="00D90C3D">
      <w:pPr>
        <w:pStyle w:val="Tekstpodstawowy"/>
        <w:rPr>
          <w:lang w:val="pl-PL"/>
        </w:rPr>
      </w:pPr>
      <w:r>
        <w:rPr>
          <w:lang w:val="pl-PL"/>
        </w:rPr>
        <w:t>20 l</w:t>
      </w:r>
      <w:r w:rsidR="00654BB6">
        <w:rPr>
          <w:lang w:val="pl-PL"/>
        </w:rPr>
        <w:t>istopad</w:t>
      </w:r>
      <w:r>
        <w:rPr>
          <w:lang w:val="pl-PL"/>
        </w:rPr>
        <w:t>a</w:t>
      </w:r>
      <w:r w:rsidR="00BB2359">
        <w:rPr>
          <w:lang w:val="pl-PL"/>
        </w:rPr>
        <w:t xml:space="preserve"> </w:t>
      </w:r>
      <w:r w:rsidR="00BE18F9">
        <w:rPr>
          <w:lang w:val="pl-PL"/>
        </w:rPr>
        <w:t>2018</w:t>
      </w:r>
      <w:r w:rsidR="0083383F">
        <w:rPr>
          <w:lang w:val="pl-PL"/>
        </w:rPr>
        <w:t xml:space="preserve"> r.</w:t>
      </w:r>
    </w:p>
    <w:p w:rsidR="00D90C3D" w:rsidRDefault="00D90C3D" w:rsidP="00D90C3D">
      <w:pPr>
        <w:pStyle w:val="Tekstpodstawowy"/>
        <w:rPr>
          <w:lang w:val="pl-PL"/>
        </w:rPr>
      </w:pPr>
    </w:p>
    <w:p w:rsidR="005B1E76" w:rsidRPr="005B1E76" w:rsidRDefault="005B1E76" w:rsidP="005B1E76">
      <w:pPr>
        <w:pStyle w:val="Tekstpodstawowy"/>
        <w:rPr>
          <w:lang w:val="pl-PL"/>
        </w:rPr>
      </w:pPr>
    </w:p>
    <w:p w:rsidR="0083383F" w:rsidRDefault="00D20D94" w:rsidP="0096573B">
      <w:pPr>
        <w:pStyle w:val="Nagwek1"/>
        <w:spacing w:line="240" w:lineRule="auto"/>
        <w:rPr>
          <w:lang w:val="pl-PL"/>
        </w:rPr>
      </w:pPr>
      <w:r>
        <w:rPr>
          <w:lang w:val="pl-PL"/>
        </w:rPr>
        <w:t>Aż</w:t>
      </w:r>
      <w:r w:rsidR="00E36278">
        <w:rPr>
          <w:lang w:val="pl-PL"/>
        </w:rPr>
        <w:t xml:space="preserve"> 72 proc. badanych </w:t>
      </w:r>
      <w:r w:rsidR="00D81A81">
        <w:rPr>
          <w:lang w:val="pl-PL"/>
        </w:rPr>
        <w:t xml:space="preserve">dyrektorów finansowych w Polsce </w:t>
      </w:r>
      <w:r w:rsidR="00AF1893">
        <w:rPr>
          <w:lang w:val="pl-PL"/>
        </w:rPr>
        <w:t xml:space="preserve">zauważa </w:t>
      </w:r>
      <w:r>
        <w:rPr>
          <w:lang w:val="pl-PL"/>
        </w:rPr>
        <w:t>bardziej restrykcyjną</w:t>
      </w:r>
      <w:r w:rsidR="00AF1893">
        <w:rPr>
          <w:lang w:val="pl-PL"/>
        </w:rPr>
        <w:t xml:space="preserve"> praktykę fiskusa</w:t>
      </w:r>
      <w:r w:rsidR="00EF31E0">
        <w:rPr>
          <w:lang w:val="pl-PL"/>
        </w:rPr>
        <w:t xml:space="preserve"> w </w:t>
      </w:r>
      <w:r w:rsidR="00E36278">
        <w:rPr>
          <w:lang w:val="pl-PL"/>
        </w:rPr>
        <w:t>ostatnim roku</w:t>
      </w:r>
      <w:r>
        <w:rPr>
          <w:lang w:val="pl-PL"/>
        </w:rPr>
        <w:t>. Spada też przyzwolenie CFO dla działań Ministerstwa Finansów</w:t>
      </w:r>
    </w:p>
    <w:p w:rsidR="0031113E" w:rsidRDefault="0031113E" w:rsidP="0031113E">
      <w:pPr>
        <w:pStyle w:val="Tekstpodstawowy"/>
        <w:rPr>
          <w:lang w:val="pl-PL"/>
        </w:rPr>
      </w:pPr>
    </w:p>
    <w:p w:rsidR="00D90C3D" w:rsidRPr="0031113E" w:rsidRDefault="00D90C3D" w:rsidP="0031113E">
      <w:pPr>
        <w:pStyle w:val="Tekstpodstawowy"/>
        <w:rPr>
          <w:lang w:val="pl-PL"/>
        </w:rPr>
      </w:pPr>
    </w:p>
    <w:p w:rsidR="00836E67" w:rsidRDefault="000E3F6A" w:rsidP="001B26C4">
      <w:pPr>
        <w:pStyle w:val="Nagwek2"/>
        <w:spacing w:line="360" w:lineRule="auto"/>
        <w:rPr>
          <w:color w:val="auto"/>
          <w:sz w:val="20"/>
          <w:szCs w:val="18"/>
          <w:lang w:val="pl-PL"/>
        </w:rPr>
      </w:pPr>
      <w:r>
        <w:rPr>
          <w:color w:val="auto"/>
          <w:sz w:val="20"/>
          <w:szCs w:val="18"/>
          <w:lang w:val="pl-PL"/>
        </w:rPr>
        <w:t>Ostatnie lata to czas silnych zmian w polskim sys</w:t>
      </w:r>
      <w:r w:rsidR="002F3579">
        <w:rPr>
          <w:color w:val="auto"/>
          <w:sz w:val="20"/>
          <w:szCs w:val="18"/>
          <w:lang w:val="pl-PL"/>
        </w:rPr>
        <w:t>temie podatkowym. Ministerstwo F</w:t>
      </w:r>
      <w:r>
        <w:rPr>
          <w:color w:val="auto"/>
          <w:sz w:val="20"/>
          <w:szCs w:val="18"/>
          <w:lang w:val="pl-PL"/>
        </w:rPr>
        <w:t>inansów</w:t>
      </w:r>
      <w:r w:rsidR="00A930E2">
        <w:rPr>
          <w:color w:val="auto"/>
          <w:sz w:val="20"/>
          <w:szCs w:val="18"/>
          <w:lang w:val="pl-PL"/>
        </w:rPr>
        <w:t xml:space="preserve"> </w:t>
      </w:r>
      <w:r w:rsidR="00836E67">
        <w:rPr>
          <w:color w:val="auto"/>
          <w:sz w:val="20"/>
          <w:szCs w:val="18"/>
          <w:lang w:val="pl-PL"/>
        </w:rPr>
        <w:t xml:space="preserve">stale </w:t>
      </w:r>
      <w:r w:rsidR="0064769A">
        <w:rPr>
          <w:color w:val="auto"/>
          <w:sz w:val="20"/>
          <w:szCs w:val="18"/>
          <w:lang w:val="pl-PL"/>
        </w:rPr>
        <w:t>wprowadza</w:t>
      </w:r>
      <w:r w:rsidR="00A930E2">
        <w:rPr>
          <w:color w:val="auto"/>
          <w:sz w:val="20"/>
          <w:szCs w:val="18"/>
          <w:lang w:val="pl-PL"/>
        </w:rPr>
        <w:t xml:space="preserve"> zmiany </w:t>
      </w:r>
      <w:r w:rsidR="006D4905">
        <w:rPr>
          <w:color w:val="auto"/>
          <w:sz w:val="20"/>
          <w:szCs w:val="18"/>
          <w:lang w:val="pl-PL"/>
        </w:rPr>
        <w:t xml:space="preserve">i regulacje </w:t>
      </w:r>
      <w:r w:rsidR="00A930E2">
        <w:rPr>
          <w:color w:val="auto"/>
          <w:sz w:val="20"/>
          <w:szCs w:val="18"/>
          <w:lang w:val="pl-PL"/>
        </w:rPr>
        <w:t>dotyczą</w:t>
      </w:r>
      <w:r w:rsidR="00914E87">
        <w:rPr>
          <w:color w:val="auto"/>
          <w:sz w:val="20"/>
          <w:szCs w:val="18"/>
          <w:lang w:val="pl-PL"/>
        </w:rPr>
        <w:t xml:space="preserve">ce podatków, które </w:t>
      </w:r>
      <w:r w:rsidR="00D20D94">
        <w:rPr>
          <w:color w:val="auto"/>
          <w:sz w:val="20"/>
          <w:szCs w:val="18"/>
          <w:lang w:val="pl-PL"/>
        </w:rPr>
        <w:t>są coraz bardziej uciążliwe</w:t>
      </w:r>
      <w:r w:rsidR="0031113E">
        <w:rPr>
          <w:color w:val="auto"/>
          <w:sz w:val="20"/>
          <w:szCs w:val="18"/>
          <w:lang w:val="pl-PL"/>
        </w:rPr>
        <w:t xml:space="preserve"> dla</w:t>
      </w:r>
      <w:r w:rsidR="00836E67">
        <w:rPr>
          <w:color w:val="auto"/>
          <w:sz w:val="20"/>
          <w:szCs w:val="18"/>
          <w:lang w:val="pl-PL"/>
        </w:rPr>
        <w:t xml:space="preserve"> polskich</w:t>
      </w:r>
      <w:r w:rsidR="00D20D94">
        <w:rPr>
          <w:color w:val="auto"/>
          <w:sz w:val="20"/>
          <w:szCs w:val="18"/>
          <w:lang w:val="pl-PL"/>
        </w:rPr>
        <w:t xml:space="preserve"> podatników</w:t>
      </w:r>
      <w:r w:rsidR="0031113E">
        <w:rPr>
          <w:color w:val="auto"/>
          <w:sz w:val="20"/>
          <w:szCs w:val="18"/>
          <w:lang w:val="pl-PL"/>
        </w:rPr>
        <w:t>. F</w:t>
      </w:r>
      <w:r w:rsidR="00D20D94">
        <w:rPr>
          <w:color w:val="auto"/>
          <w:sz w:val="20"/>
          <w:szCs w:val="18"/>
          <w:lang w:val="pl-PL"/>
        </w:rPr>
        <w:t>irma audytorsko-doradcza</w:t>
      </w:r>
      <w:r w:rsidR="006D4905">
        <w:rPr>
          <w:color w:val="auto"/>
          <w:sz w:val="20"/>
          <w:szCs w:val="18"/>
          <w:lang w:val="pl-PL"/>
        </w:rPr>
        <w:t xml:space="preserve"> </w:t>
      </w:r>
      <w:r w:rsidR="00386C3C" w:rsidRPr="00644D1A">
        <w:rPr>
          <w:color w:val="auto"/>
          <w:sz w:val="20"/>
          <w:szCs w:val="18"/>
          <w:lang w:val="pl-PL"/>
        </w:rPr>
        <w:t>Grant Thornton i</w:t>
      </w:r>
      <w:r w:rsidR="00D20D94">
        <w:rPr>
          <w:color w:val="auto"/>
          <w:sz w:val="20"/>
          <w:szCs w:val="18"/>
          <w:lang w:val="pl-PL"/>
        </w:rPr>
        <w:t xml:space="preserve"> towarzystwo ubezpieczeniowe</w:t>
      </w:r>
      <w:r w:rsidR="00386C3C" w:rsidRPr="00644D1A">
        <w:rPr>
          <w:color w:val="auto"/>
          <w:sz w:val="20"/>
          <w:szCs w:val="18"/>
          <w:lang w:val="pl-PL"/>
        </w:rPr>
        <w:t xml:space="preserve"> </w:t>
      </w:r>
      <w:proofErr w:type="spellStart"/>
      <w:r w:rsidR="00386C3C" w:rsidRPr="00644D1A">
        <w:rPr>
          <w:color w:val="auto"/>
          <w:sz w:val="20"/>
          <w:szCs w:val="18"/>
          <w:lang w:val="pl-PL"/>
        </w:rPr>
        <w:t>Euler</w:t>
      </w:r>
      <w:proofErr w:type="spellEnd"/>
      <w:r w:rsidR="00386C3C" w:rsidRPr="00644D1A">
        <w:rPr>
          <w:color w:val="auto"/>
          <w:sz w:val="20"/>
          <w:szCs w:val="18"/>
          <w:lang w:val="pl-PL"/>
        </w:rPr>
        <w:t xml:space="preserve"> Hermes</w:t>
      </w:r>
      <w:r w:rsidR="00644D1A" w:rsidRPr="00644D1A">
        <w:rPr>
          <w:color w:val="auto"/>
          <w:sz w:val="20"/>
          <w:szCs w:val="18"/>
          <w:lang w:val="pl-PL"/>
        </w:rPr>
        <w:t xml:space="preserve"> </w:t>
      </w:r>
      <w:r w:rsidR="009F53E2">
        <w:rPr>
          <w:color w:val="auto"/>
          <w:sz w:val="20"/>
          <w:szCs w:val="18"/>
          <w:lang w:val="pl-PL"/>
        </w:rPr>
        <w:t>drugi rok z rzędu sprawdziły</w:t>
      </w:r>
      <w:r w:rsidR="006D4905">
        <w:rPr>
          <w:color w:val="auto"/>
          <w:sz w:val="20"/>
          <w:szCs w:val="18"/>
          <w:lang w:val="pl-PL"/>
        </w:rPr>
        <w:t xml:space="preserve">, jak te zmiany są odbierane przez </w:t>
      </w:r>
      <w:r w:rsidR="009F53E2">
        <w:rPr>
          <w:color w:val="auto"/>
          <w:sz w:val="20"/>
          <w:szCs w:val="18"/>
          <w:lang w:val="pl-PL"/>
        </w:rPr>
        <w:t>dyrektorów finansowych firm działających</w:t>
      </w:r>
      <w:r w:rsidR="00A6125C">
        <w:rPr>
          <w:color w:val="auto"/>
          <w:sz w:val="20"/>
          <w:szCs w:val="18"/>
          <w:lang w:val="pl-PL"/>
        </w:rPr>
        <w:t xml:space="preserve"> </w:t>
      </w:r>
      <w:r w:rsidR="009F53E2">
        <w:rPr>
          <w:color w:val="auto"/>
          <w:sz w:val="20"/>
          <w:szCs w:val="18"/>
          <w:lang w:val="pl-PL"/>
        </w:rPr>
        <w:t xml:space="preserve">w Polsce. </w:t>
      </w:r>
    </w:p>
    <w:p w:rsidR="00A46AEA" w:rsidRPr="00A46AEA" w:rsidRDefault="00A46AEA" w:rsidP="00A46AEA">
      <w:pPr>
        <w:pStyle w:val="Tekstpodstawowy"/>
        <w:rPr>
          <w:lang w:val="pl-PL"/>
        </w:rPr>
      </w:pPr>
    </w:p>
    <w:p w:rsidR="00321ADF" w:rsidRPr="00644D1A" w:rsidRDefault="009F53E2" w:rsidP="001B26C4">
      <w:pPr>
        <w:pStyle w:val="Nagwek2"/>
        <w:spacing w:line="360" w:lineRule="auto"/>
        <w:rPr>
          <w:color w:val="auto"/>
          <w:sz w:val="20"/>
          <w:szCs w:val="18"/>
          <w:lang w:val="pl-PL"/>
        </w:rPr>
      </w:pPr>
      <w:r>
        <w:rPr>
          <w:color w:val="auto"/>
          <w:sz w:val="20"/>
          <w:szCs w:val="18"/>
          <w:lang w:val="pl-PL"/>
        </w:rPr>
        <w:t>Z badania zaprezentowanego w raporcie „CFO czują dokręcenie fiskalnej śruby”</w:t>
      </w:r>
      <w:r w:rsidR="001E5315">
        <w:rPr>
          <w:color w:val="auto"/>
          <w:sz w:val="20"/>
          <w:szCs w:val="18"/>
          <w:lang w:val="pl-PL"/>
        </w:rPr>
        <w:t xml:space="preserve"> wynika, ż</w:t>
      </w:r>
      <w:r>
        <w:rPr>
          <w:color w:val="auto"/>
          <w:sz w:val="20"/>
          <w:szCs w:val="18"/>
          <w:lang w:val="pl-PL"/>
        </w:rPr>
        <w:t xml:space="preserve">e znaczna większość badanych </w:t>
      </w:r>
      <w:r w:rsidR="003168AC">
        <w:rPr>
          <w:color w:val="auto"/>
          <w:sz w:val="20"/>
          <w:szCs w:val="18"/>
          <w:lang w:val="pl-PL"/>
        </w:rPr>
        <w:t xml:space="preserve">(72 proc.) </w:t>
      </w:r>
      <w:r w:rsidR="000E2707">
        <w:rPr>
          <w:color w:val="auto"/>
          <w:sz w:val="20"/>
          <w:szCs w:val="18"/>
          <w:lang w:val="pl-PL"/>
        </w:rPr>
        <w:t xml:space="preserve">silnie </w:t>
      </w:r>
      <w:r w:rsidR="003168AC">
        <w:rPr>
          <w:color w:val="auto"/>
          <w:sz w:val="20"/>
          <w:szCs w:val="18"/>
          <w:lang w:val="pl-PL"/>
        </w:rPr>
        <w:t xml:space="preserve">odczuwa zaostrzenie się praktyki </w:t>
      </w:r>
      <w:r>
        <w:rPr>
          <w:color w:val="auto"/>
          <w:sz w:val="20"/>
          <w:szCs w:val="18"/>
          <w:lang w:val="pl-PL"/>
        </w:rPr>
        <w:t>podatkowej MF</w:t>
      </w:r>
      <w:r w:rsidR="003168AC">
        <w:rPr>
          <w:color w:val="auto"/>
          <w:sz w:val="20"/>
          <w:szCs w:val="18"/>
          <w:lang w:val="pl-PL"/>
        </w:rPr>
        <w:t xml:space="preserve">. </w:t>
      </w:r>
      <w:r w:rsidR="00A6125C">
        <w:rPr>
          <w:color w:val="auto"/>
          <w:sz w:val="20"/>
          <w:szCs w:val="18"/>
          <w:lang w:val="pl-PL"/>
        </w:rPr>
        <w:t>Jest to o 29</w:t>
      </w:r>
      <w:r w:rsidR="00AE014A">
        <w:rPr>
          <w:color w:val="auto"/>
          <w:sz w:val="20"/>
          <w:szCs w:val="18"/>
          <w:lang w:val="pl-PL"/>
        </w:rPr>
        <w:t xml:space="preserve"> pkt proc. więcej niż w</w:t>
      </w:r>
      <w:r w:rsidR="003168AC">
        <w:rPr>
          <w:color w:val="auto"/>
          <w:sz w:val="20"/>
          <w:szCs w:val="18"/>
          <w:lang w:val="pl-PL"/>
        </w:rPr>
        <w:t xml:space="preserve"> ubiegłorocznej edycji badania</w:t>
      </w:r>
      <w:r w:rsidR="00AE014A">
        <w:rPr>
          <w:color w:val="auto"/>
          <w:sz w:val="20"/>
          <w:szCs w:val="18"/>
          <w:lang w:val="pl-PL"/>
        </w:rPr>
        <w:t xml:space="preserve">. </w:t>
      </w:r>
      <w:r w:rsidR="00986F4C">
        <w:rPr>
          <w:color w:val="auto"/>
          <w:sz w:val="20"/>
          <w:szCs w:val="18"/>
          <w:lang w:val="pl-PL"/>
        </w:rPr>
        <w:t>Z kolei już tylko 27 proc. dyrektorów finansowych nie zauważa zmian w podatkach – w zeszłym roku takich odpowiedzi było aż 57 proc. Co ciekawe</w:t>
      </w:r>
      <w:r w:rsidR="00921BA6">
        <w:rPr>
          <w:color w:val="auto"/>
          <w:sz w:val="20"/>
          <w:szCs w:val="18"/>
          <w:lang w:val="pl-PL"/>
        </w:rPr>
        <w:t>, w tym roku 1 proc. badanych uważa, że polityka podatkowa urzędów skarbowych uległa złagodnieniu</w:t>
      </w:r>
      <w:r w:rsidR="00147FBD">
        <w:rPr>
          <w:color w:val="auto"/>
          <w:sz w:val="20"/>
          <w:szCs w:val="18"/>
          <w:lang w:val="pl-PL"/>
        </w:rPr>
        <w:t xml:space="preserve"> (w poprzednim badaniu nie było ani jednej takiej odpowiedzi)</w:t>
      </w:r>
      <w:r w:rsidR="00921BA6">
        <w:rPr>
          <w:color w:val="auto"/>
          <w:sz w:val="20"/>
          <w:szCs w:val="18"/>
          <w:lang w:val="pl-PL"/>
        </w:rPr>
        <w:t>.</w:t>
      </w:r>
    </w:p>
    <w:p w:rsidR="00F62DA8" w:rsidRPr="005B1E76" w:rsidRDefault="00F62DA8">
      <w:pPr>
        <w:spacing w:after="0" w:line="240" w:lineRule="auto"/>
        <w:rPr>
          <w:b/>
          <w:color w:val="000000" w:themeColor="text1"/>
          <w:lang w:val="pl-PL"/>
        </w:rPr>
      </w:pPr>
    </w:p>
    <w:p w:rsidR="0031113E" w:rsidRDefault="0031113E" w:rsidP="00921BA6">
      <w:pPr>
        <w:pStyle w:val="Tekstpodstawowy"/>
        <w:rPr>
          <w:b/>
          <w:lang w:val="pl-PL"/>
        </w:rPr>
      </w:pPr>
    </w:p>
    <w:p w:rsidR="00147FBD" w:rsidRDefault="00147FBD" w:rsidP="00921BA6">
      <w:pPr>
        <w:pStyle w:val="Tekstpodstawowy"/>
        <w:rPr>
          <w:b/>
          <w:lang w:val="pl-PL"/>
        </w:rPr>
      </w:pPr>
    </w:p>
    <w:p w:rsidR="008E3374" w:rsidRDefault="00D60DD8" w:rsidP="00921BA6">
      <w:pPr>
        <w:pStyle w:val="Tekstpodstawowy"/>
        <w:rPr>
          <w:lang w:val="pl-PL"/>
        </w:rPr>
      </w:pPr>
      <w:r w:rsidRPr="005B1E76">
        <w:rPr>
          <w:b/>
          <w:lang w:val="pl-PL"/>
        </w:rPr>
        <w:t>Wykres.</w:t>
      </w:r>
      <w:r w:rsidR="008D157E" w:rsidRPr="005B1E76">
        <w:rPr>
          <w:b/>
          <w:lang w:val="pl-PL"/>
        </w:rPr>
        <w:t xml:space="preserve"> </w:t>
      </w:r>
      <w:r w:rsidR="00921BA6" w:rsidRPr="00921BA6">
        <w:rPr>
          <w:lang w:val="pl-PL"/>
        </w:rPr>
        <w:t>Jak z Pana(-i) perspektywy zmieniła się praktyka podatkowa urzędów skarbowych wobec przedsiębiorstw w ostatnich 12 miesiącach?</w:t>
      </w:r>
    </w:p>
    <w:p w:rsidR="00763735" w:rsidRPr="00921BA6" w:rsidRDefault="00763735" w:rsidP="00921BA6">
      <w:pPr>
        <w:pStyle w:val="Tekstpodstawowy"/>
        <w:rPr>
          <w:b/>
          <w:lang w:val="pl-PL"/>
        </w:rPr>
      </w:pPr>
    </w:p>
    <w:p w:rsidR="003A7DBE" w:rsidRPr="00D90C3D" w:rsidRDefault="00763735" w:rsidP="00D60DD8">
      <w:pPr>
        <w:pStyle w:val="Tekstpodstawowy"/>
        <w:rPr>
          <w:b/>
          <w:lang w:val="pl-PL"/>
        </w:rPr>
      </w:pPr>
      <w:r w:rsidRPr="00763735">
        <w:rPr>
          <w:b/>
          <w:noProof/>
          <w:lang w:val="pl-PL" w:eastAsia="pl-PL"/>
        </w:rPr>
        <w:drawing>
          <wp:inline distT="0" distB="0" distL="0" distR="0" wp14:anchorId="646EEB2C" wp14:editId="693BAD71">
            <wp:extent cx="6385560" cy="1857375"/>
            <wp:effectExtent l="0" t="0" r="1524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329E" w:rsidRPr="005B1E76" w:rsidRDefault="00912FA0" w:rsidP="00D60DD8">
      <w:pPr>
        <w:pStyle w:val="Tekstpodstawowy"/>
        <w:rPr>
          <w:sz w:val="14"/>
          <w:lang w:val="pl-PL"/>
        </w:rPr>
      </w:pPr>
      <w:r w:rsidRPr="005B1E76">
        <w:rPr>
          <w:sz w:val="14"/>
          <w:lang w:val="pl-PL"/>
        </w:rPr>
        <w:t xml:space="preserve">Źródło: </w:t>
      </w:r>
      <w:r w:rsidR="00763735" w:rsidRPr="00763735">
        <w:rPr>
          <w:sz w:val="14"/>
          <w:lang w:val="pl-PL"/>
        </w:rPr>
        <w:t xml:space="preserve">Badanie Grant Thornton i </w:t>
      </w:r>
      <w:proofErr w:type="spellStart"/>
      <w:r w:rsidR="00763735" w:rsidRPr="00763735">
        <w:rPr>
          <w:sz w:val="14"/>
          <w:lang w:val="pl-PL"/>
        </w:rPr>
        <w:t>Euler</w:t>
      </w:r>
      <w:proofErr w:type="spellEnd"/>
      <w:r w:rsidR="00763735">
        <w:rPr>
          <w:sz w:val="14"/>
          <w:lang w:val="pl-PL"/>
        </w:rPr>
        <w:t xml:space="preserve"> Hermes przeprowadzone wśród 200</w:t>
      </w:r>
      <w:r w:rsidR="00763735" w:rsidRPr="00763735">
        <w:rPr>
          <w:sz w:val="14"/>
          <w:lang w:val="pl-PL"/>
        </w:rPr>
        <w:t xml:space="preserve"> dyrektorów finansowych działających w Polsce firm.</w:t>
      </w:r>
    </w:p>
    <w:p w:rsidR="003A7DBE" w:rsidRPr="005B1E76" w:rsidRDefault="003A7DBE" w:rsidP="00454E86">
      <w:pPr>
        <w:pStyle w:val="Nagwek2"/>
        <w:rPr>
          <w:color w:val="auto"/>
          <w:sz w:val="20"/>
          <w:lang w:val="pl-PL"/>
        </w:rPr>
      </w:pPr>
      <w:bookmarkStart w:id="1" w:name="_GoBack"/>
      <w:bookmarkEnd w:id="1"/>
    </w:p>
    <w:p w:rsidR="005C061C" w:rsidRDefault="00A216A3" w:rsidP="00F31AF8">
      <w:pPr>
        <w:pStyle w:val="Nagwek2"/>
        <w:rPr>
          <w:color w:val="auto"/>
          <w:sz w:val="20"/>
          <w:lang w:val="pl-PL"/>
        </w:rPr>
      </w:pPr>
      <w:r>
        <w:rPr>
          <w:color w:val="auto"/>
          <w:sz w:val="20"/>
          <w:lang w:val="pl-PL"/>
        </w:rPr>
        <w:t>Na pytanie o obszary</w:t>
      </w:r>
      <w:r w:rsidR="00155125">
        <w:rPr>
          <w:color w:val="auto"/>
          <w:sz w:val="20"/>
          <w:lang w:val="pl-PL"/>
        </w:rPr>
        <w:t>,</w:t>
      </w:r>
      <w:r>
        <w:rPr>
          <w:color w:val="auto"/>
          <w:sz w:val="20"/>
          <w:lang w:val="pl-PL"/>
        </w:rPr>
        <w:t xml:space="preserve"> w których odczuwalne są najsilniejsze zmiany</w:t>
      </w:r>
      <w:r w:rsidR="00155125">
        <w:rPr>
          <w:color w:val="auto"/>
          <w:sz w:val="20"/>
          <w:lang w:val="pl-PL"/>
        </w:rPr>
        <w:t>,</w:t>
      </w:r>
      <w:r w:rsidR="00147FBD">
        <w:rPr>
          <w:color w:val="auto"/>
          <w:sz w:val="20"/>
          <w:lang w:val="pl-PL"/>
        </w:rPr>
        <w:t xml:space="preserve"> </w:t>
      </w:r>
      <w:r w:rsidR="00155125">
        <w:rPr>
          <w:color w:val="auto"/>
          <w:sz w:val="20"/>
          <w:lang w:val="pl-PL"/>
        </w:rPr>
        <w:t>61 proc.</w:t>
      </w:r>
      <w:r>
        <w:rPr>
          <w:color w:val="auto"/>
          <w:sz w:val="20"/>
          <w:lang w:val="pl-PL"/>
        </w:rPr>
        <w:t xml:space="preserve"> d</w:t>
      </w:r>
      <w:r w:rsidR="00155125">
        <w:rPr>
          <w:color w:val="auto"/>
          <w:sz w:val="20"/>
          <w:lang w:val="pl-PL"/>
        </w:rPr>
        <w:t>yrektorów finansowych wskazało</w:t>
      </w:r>
      <w:r>
        <w:rPr>
          <w:color w:val="auto"/>
          <w:sz w:val="20"/>
          <w:lang w:val="pl-PL"/>
        </w:rPr>
        <w:t xml:space="preserve"> zmiany w wymaganiach sp</w:t>
      </w:r>
      <w:r w:rsidR="004173DD">
        <w:rPr>
          <w:color w:val="auto"/>
          <w:sz w:val="20"/>
          <w:lang w:val="pl-PL"/>
        </w:rPr>
        <w:t>rawozdawczych wobec podatników</w:t>
      </w:r>
      <w:r w:rsidR="00155125">
        <w:rPr>
          <w:color w:val="auto"/>
          <w:sz w:val="20"/>
          <w:lang w:val="pl-PL"/>
        </w:rPr>
        <w:t>,</w:t>
      </w:r>
      <w:r w:rsidR="004173DD">
        <w:rPr>
          <w:color w:val="auto"/>
          <w:sz w:val="20"/>
          <w:lang w:val="pl-PL"/>
        </w:rPr>
        <w:t xml:space="preserve"> 66 proc. zaostrzenie przepisów podatkowych</w:t>
      </w:r>
      <w:r w:rsidR="00155125">
        <w:rPr>
          <w:color w:val="auto"/>
          <w:sz w:val="20"/>
          <w:lang w:val="pl-PL"/>
        </w:rPr>
        <w:t xml:space="preserve">, </w:t>
      </w:r>
      <w:r w:rsidR="003D4CE1">
        <w:rPr>
          <w:color w:val="auto"/>
          <w:sz w:val="20"/>
          <w:lang w:val="pl-PL"/>
        </w:rPr>
        <w:t xml:space="preserve">a </w:t>
      </w:r>
      <w:r w:rsidR="00155125">
        <w:rPr>
          <w:color w:val="auto"/>
          <w:sz w:val="20"/>
          <w:lang w:val="pl-PL"/>
        </w:rPr>
        <w:t>30 proc. uważa, że decyzje urzędów są wydawane na korzyść firmy rzadziej niż dotąd</w:t>
      </w:r>
      <w:r w:rsidR="003E304E">
        <w:rPr>
          <w:color w:val="auto"/>
          <w:sz w:val="20"/>
          <w:lang w:val="pl-PL"/>
        </w:rPr>
        <w:t xml:space="preserve"> (w zeszłym roku było to odpowiednio 63 proc., 66 proc. i 15 proc.). </w:t>
      </w:r>
      <w:r w:rsidR="00B56F9F">
        <w:rPr>
          <w:color w:val="auto"/>
          <w:sz w:val="20"/>
          <w:lang w:val="pl-PL"/>
        </w:rPr>
        <w:t xml:space="preserve">W tegorocznej edycji badania ankietowani w znacznie mniejszym stopniu niż w roku ubiegłym uważają, że </w:t>
      </w:r>
      <w:r w:rsidR="009F53E2">
        <w:rPr>
          <w:color w:val="auto"/>
          <w:sz w:val="20"/>
          <w:lang w:val="pl-PL"/>
        </w:rPr>
        <w:t>„</w:t>
      </w:r>
      <w:r w:rsidR="00B56F9F">
        <w:rPr>
          <w:color w:val="auto"/>
          <w:sz w:val="20"/>
          <w:lang w:val="pl-PL"/>
        </w:rPr>
        <w:t>kontrole skarbowe są bardziej szczegółowe niż dotychczas</w:t>
      </w:r>
      <w:r w:rsidR="009F53E2">
        <w:rPr>
          <w:color w:val="auto"/>
          <w:sz w:val="20"/>
          <w:lang w:val="pl-PL"/>
        </w:rPr>
        <w:t>” (</w:t>
      </w:r>
      <w:r w:rsidR="00B56F9F">
        <w:rPr>
          <w:color w:val="auto"/>
          <w:sz w:val="20"/>
          <w:lang w:val="pl-PL"/>
        </w:rPr>
        <w:t xml:space="preserve">26 </w:t>
      </w:r>
      <w:r w:rsidR="009F53E2">
        <w:rPr>
          <w:color w:val="auto"/>
          <w:sz w:val="20"/>
          <w:lang w:val="pl-PL"/>
        </w:rPr>
        <w:t>proc. odpowiedzi wobec 45 proc. w zeszłym roku) oraz</w:t>
      </w:r>
      <w:r w:rsidR="00B56F9F">
        <w:rPr>
          <w:color w:val="auto"/>
          <w:sz w:val="20"/>
          <w:lang w:val="pl-PL"/>
        </w:rPr>
        <w:t xml:space="preserve"> że są </w:t>
      </w:r>
      <w:r w:rsidR="009F53E2">
        <w:rPr>
          <w:color w:val="auto"/>
          <w:sz w:val="20"/>
          <w:lang w:val="pl-PL"/>
        </w:rPr>
        <w:t>„</w:t>
      </w:r>
      <w:r w:rsidR="00B56F9F">
        <w:rPr>
          <w:color w:val="auto"/>
          <w:sz w:val="20"/>
          <w:lang w:val="pl-PL"/>
        </w:rPr>
        <w:t>częstsze niż dotychczas</w:t>
      </w:r>
      <w:r w:rsidR="009F53E2">
        <w:rPr>
          <w:color w:val="auto"/>
          <w:sz w:val="20"/>
          <w:lang w:val="pl-PL"/>
        </w:rPr>
        <w:t>” (</w:t>
      </w:r>
      <w:r w:rsidR="00B56F9F">
        <w:rPr>
          <w:color w:val="auto"/>
          <w:sz w:val="20"/>
          <w:lang w:val="pl-PL"/>
        </w:rPr>
        <w:t xml:space="preserve">29 </w:t>
      </w:r>
      <w:r w:rsidR="009F53E2">
        <w:rPr>
          <w:color w:val="auto"/>
          <w:sz w:val="20"/>
          <w:lang w:val="pl-PL"/>
        </w:rPr>
        <w:t xml:space="preserve">proc. wobec </w:t>
      </w:r>
      <w:r w:rsidR="003D4CE1">
        <w:rPr>
          <w:color w:val="auto"/>
          <w:sz w:val="20"/>
          <w:lang w:val="pl-PL"/>
        </w:rPr>
        <w:t>49 proc. rok temu).</w:t>
      </w:r>
    </w:p>
    <w:p w:rsidR="00F31AF8" w:rsidRPr="00F31AF8" w:rsidRDefault="00F31AF8" w:rsidP="00F31AF8">
      <w:pPr>
        <w:pStyle w:val="Tekstpodstawowy"/>
        <w:rPr>
          <w:lang w:val="pl-PL"/>
        </w:rPr>
      </w:pPr>
    </w:p>
    <w:p w:rsidR="00750AFB" w:rsidRDefault="002A25AC" w:rsidP="002A25F2">
      <w:pPr>
        <w:pStyle w:val="Tekstpodstawowy"/>
        <w:spacing w:before="240" w:line="320" w:lineRule="atLeast"/>
        <w:rPr>
          <w:sz w:val="20"/>
          <w:lang w:val="pl-PL"/>
        </w:rPr>
      </w:pPr>
      <w:r w:rsidRPr="005B1E76">
        <w:rPr>
          <w:i/>
          <w:noProof/>
          <w:sz w:val="20"/>
          <w:lang w:val="pl-PL" w:eastAsia="pl-PL"/>
        </w:rPr>
        <w:drawing>
          <wp:anchor distT="0" distB="0" distL="114300" distR="114300" simplePos="0" relativeHeight="251669504" behindDoc="0" locked="0" layoutInCell="1" allowOverlap="1" wp14:anchorId="6CA966C8" wp14:editId="39D90583">
            <wp:simplePos x="0" y="0"/>
            <wp:positionH relativeFrom="margin">
              <wp:posOffset>-38100</wp:posOffset>
            </wp:positionH>
            <wp:positionV relativeFrom="paragraph">
              <wp:posOffset>24765</wp:posOffset>
            </wp:positionV>
            <wp:extent cx="457200" cy="4260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3E2" w:rsidRPr="009F53E2">
        <w:rPr>
          <w:i/>
          <w:noProof/>
          <w:sz w:val="20"/>
          <w:lang w:val="pl-PL" w:eastAsia="pl-PL"/>
        </w:rPr>
        <w:t xml:space="preserve">Wydaje się, że pogorszenie się nastrojów CFO jest podyktowane głównie ostatnimi zmianami prawa podatkowego. Wprowadzenie szeregu mechanizmów, które mają zapobiegać unikaniu opodatkowania, jest odbierane </w:t>
      </w:r>
      <w:r w:rsidR="002A25F2">
        <w:rPr>
          <w:i/>
          <w:noProof/>
          <w:sz w:val="20"/>
          <w:lang w:val="pl-PL" w:eastAsia="pl-PL"/>
        </w:rPr>
        <w:t>negatywnie – podatnicy mogą czuć</w:t>
      </w:r>
      <w:r w:rsidR="009F53E2" w:rsidRPr="009F53E2">
        <w:rPr>
          <w:i/>
          <w:noProof/>
          <w:sz w:val="20"/>
          <w:lang w:val="pl-PL" w:eastAsia="pl-PL"/>
        </w:rPr>
        <w:t xml:space="preserve"> obawę, że ich działania biznesowe zostaną zakwalifikowane jako niezgodna z</w:t>
      </w:r>
      <w:r w:rsidR="002A25F2">
        <w:rPr>
          <w:i/>
          <w:noProof/>
          <w:sz w:val="20"/>
          <w:lang w:val="pl-PL" w:eastAsia="pl-PL"/>
        </w:rPr>
        <w:t xml:space="preserve"> prawem optymalizacja podatkowa</w:t>
      </w:r>
      <w:r w:rsidR="009F53E2" w:rsidRPr="009F53E2">
        <w:rPr>
          <w:i/>
          <w:noProof/>
          <w:sz w:val="20"/>
          <w:lang w:val="pl-PL" w:eastAsia="pl-PL"/>
        </w:rPr>
        <w:t xml:space="preserve"> </w:t>
      </w:r>
      <w:r w:rsidRPr="005B1E76">
        <w:rPr>
          <w:sz w:val="20"/>
          <w:lang w:val="pl-PL"/>
        </w:rPr>
        <w:t>– mówi</w:t>
      </w:r>
      <w:r w:rsidR="00654BB6">
        <w:rPr>
          <w:b/>
          <w:sz w:val="20"/>
          <w:lang w:val="pl-PL"/>
        </w:rPr>
        <w:t xml:space="preserve"> Dariusz Gałązka</w:t>
      </w:r>
      <w:r w:rsidRPr="005B1E76">
        <w:rPr>
          <w:sz w:val="20"/>
          <w:lang w:val="pl-PL"/>
        </w:rPr>
        <w:t xml:space="preserve">, </w:t>
      </w:r>
      <w:r w:rsidR="00654BB6">
        <w:rPr>
          <w:sz w:val="20"/>
          <w:lang w:val="pl-PL"/>
        </w:rPr>
        <w:t>Partner</w:t>
      </w:r>
      <w:r w:rsidR="002A25F2">
        <w:rPr>
          <w:sz w:val="20"/>
          <w:lang w:val="pl-PL"/>
        </w:rPr>
        <w:t xml:space="preserve"> w </w:t>
      </w:r>
      <w:r w:rsidRPr="005B1E76">
        <w:rPr>
          <w:sz w:val="20"/>
          <w:lang w:val="pl-PL"/>
        </w:rPr>
        <w:t>Grant Thornton.</w:t>
      </w:r>
      <w:r w:rsidR="002A25F2">
        <w:rPr>
          <w:sz w:val="20"/>
          <w:lang w:val="pl-PL"/>
        </w:rPr>
        <w:t xml:space="preserve"> </w:t>
      </w:r>
      <w:r w:rsidR="002A25F2" w:rsidRPr="002A25F2">
        <w:rPr>
          <w:i/>
          <w:sz w:val="20"/>
          <w:lang w:val="pl-PL"/>
        </w:rPr>
        <w:t xml:space="preserve">Co prawda, </w:t>
      </w:r>
      <w:r w:rsidR="002A25F2">
        <w:rPr>
          <w:i/>
          <w:sz w:val="20"/>
          <w:lang w:val="pl-PL"/>
        </w:rPr>
        <w:t>w firmach spada</w:t>
      </w:r>
      <w:r w:rsidR="002A25F2" w:rsidRPr="002A25F2">
        <w:rPr>
          <w:i/>
          <w:sz w:val="20"/>
          <w:lang w:val="pl-PL"/>
        </w:rPr>
        <w:t xml:space="preserve"> liczba prowadzonych kontroli. Z naszych doświadczeń wynika jednak, że jednocześnie organy podatkowe w trakcie kontroli mają coraz więcej zastrzeżeń. Nie chodzi tu już tylko o oczywiste błędy podatników czy naruszenia przez nich przepisów prawa, ale często organy doszukują się nieprawidłowości tam, gdzie one nie występują</w:t>
      </w:r>
      <w:r w:rsidR="002A25F2">
        <w:rPr>
          <w:sz w:val="20"/>
          <w:lang w:val="pl-PL"/>
        </w:rPr>
        <w:t xml:space="preserve"> – dodaje.</w:t>
      </w:r>
    </w:p>
    <w:p w:rsidR="00F31AF8" w:rsidRDefault="00F31AF8" w:rsidP="00F31AF8">
      <w:pPr>
        <w:pStyle w:val="Nagwek2"/>
        <w:keepLines/>
        <w:rPr>
          <w:rFonts w:asciiTheme="minorHAnsi" w:hAnsiTheme="minorHAnsi" w:cs="Arial"/>
          <w:i/>
          <w:color w:val="000000" w:themeColor="text1"/>
          <w:kern w:val="0"/>
          <w:sz w:val="20"/>
          <w:szCs w:val="20"/>
          <w:lang w:val="pl-PL"/>
        </w:rPr>
      </w:pPr>
    </w:p>
    <w:p w:rsidR="00F31AF8" w:rsidRDefault="005171B1" w:rsidP="00F31AF8">
      <w:pPr>
        <w:pStyle w:val="Nagwek2"/>
        <w:keepNext w:val="0"/>
        <w:rPr>
          <w:color w:val="auto"/>
          <w:sz w:val="20"/>
          <w:lang w:val="pl-PL"/>
        </w:rPr>
      </w:pPr>
      <w:r>
        <w:rPr>
          <w:color w:val="auto"/>
          <w:sz w:val="20"/>
          <w:lang w:val="pl-PL"/>
        </w:rPr>
        <w:t xml:space="preserve">Zmiany w polityce podatkowej wprowadzane przez </w:t>
      </w:r>
      <w:r w:rsidR="002A25F2">
        <w:rPr>
          <w:color w:val="auto"/>
          <w:sz w:val="20"/>
          <w:lang w:val="pl-PL"/>
        </w:rPr>
        <w:t>MF</w:t>
      </w:r>
      <w:r>
        <w:rPr>
          <w:color w:val="auto"/>
          <w:sz w:val="20"/>
          <w:lang w:val="pl-PL"/>
        </w:rPr>
        <w:t xml:space="preserve"> mają na celu uszczelnienie systemu podatkowego. Badani CFO zapytani o skuteczność tworzonych regulacji</w:t>
      </w:r>
      <w:r w:rsidR="008430F7">
        <w:rPr>
          <w:color w:val="auto"/>
          <w:sz w:val="20"/>
          <w:lang w:val="pl-PL"/>
        </w:rPr>
        <w:t xml:space="preserve"> w większości (65 proc. respondentów) popierają działania MF oraz uważają, że przyczynią się one do uszczelniania systemu podatkowego. Jednak w porównaniu do zeszłorocznego badania</w:t>
      </w:r>
      <w:r w:rsidR="002758A2">
        <w:rPr>
          <w:color w:val="auto"/>
          <w:sz w:val="20"/>
          <w:lang w:val="pl-PL"/>
        </w:rPr>
        <w:t xml:space="preserve"> </w:t>
      </w:r>
      <w:r w:rsidR="002A25F2">
        <w:rPr>
          <w:color w:val="auto"/>
          <w:sz w:val="20"/>
          <w:lang w:val="pl-PL"/>
        </w:rPr>
        <w:t>poparcie dla działań MF wyraźnie spadło. P</w:t>
      </w:r>
      <w:r w:rsidR="008430F7">
        <w:rPr>
          <w:color w:val="auto"/>
          <w:sz w:val="20"/>
          <w:lang w:val="pl-PL"/>
        </w:rPr>
        <w:t>ozytywnych odpowiedzi jest o 17 pkt proc. mniej</w:t>
      </w:r>
      <w:r w:rsidR="002A25F2">
        <w:rPr>
          <w:color w:val="auto"/>
          <w:sz w:val="20"/>
          <w:lang w:val="pl-PL"/>
        </w:rPr>
        <w:t xml:space="preserve"> niż w zeszłym roku, natomiast </w:t>
      </w:r>
      <w:r w:rsidR="00EB39D8">
        <w:rPr>
          <w:color w:val="auto"/>
          <w:sz w:val="20"/>
          <w:lang w:val="pl-PL"/>
        </w:rPr>
        <w:t>znacznie wzrósł odsetek</w:t>
      </w:r>
      <w:r w:rsidR="002A25F2">
        <w:rPr>
          <w:color w:val="auto"/>
          <w:sz w:val="20"/>
          <w:lang w:val="pl-PL"/>
        </w:rPr>
        <w:t xml:space="preserve"> CFO opowiadających się przeciwko</w:t>
      </w:r>
      <w:r w:rsidR="00F31AF8">
        <w:rPr>
          <w:color w:val="auto"/>
          <w:sz w:val="20"/>
          <w:lang w:val="pl-PL"/>
        </w:rPr>
        <w:t xml:space="preserve"> </w:t>
      </w:r>
      <w:r w:rsidR="00E72CC4">
        <w:rPr>
          <w:color w:val="auto"/>
          <w:sz w:val="20"/>
          <w:lang w:val="pl-PL"/>
        </w:rPr>
        <w:t>zmian</w:t>
      </w:r>
      <w:r w:rsidR="00EB39D8">
        <w:rPr>
          <w:color w:val="auto"/>
          <w:sz w:val="20"/>
          <w:lang w:val="pl-PL"/>
        </w:rPr>
        <w:t>om</w:t>
      </w:r>
      <w:r w:rsidR="00E72CC4">
        <w:rPr>
          <w:color w:val="auto"/>
          <w:sz w:val="20"/>
          <w:lang w:val="pl-PL"/>
        </w:rPr>
        <w:t xml:space="preserve"> w polityce podatkowej – </w:t>
      </w:r>
      <w:r w:rsidR="002A25F2">
        <w:rPr>
          <w:color w:val="auto"/>
          <w:sz w:val="20"/>
          <w:lang w:val="pl-PL"/>
        </w:rPr>
        <w:t>obecnie już 35 proc. ankietowanych</w:t>
      </w:r>
      <w:r w:rsidR="00B857A8">
        <w:rPr>
          <w:color w:val="auto"/>
          <w:sz w:val="20"/>
          <w:lang w:val="pl-PL"/>
        </w:rPr>
        <w:t xml:space="preserve"> uważa,</w:t>
      </w:r>
      <w:r w:rsidR="00750AFB">
        <w:rPr>
          <w:color w:val="auto"/>
          <w:sz w:val="20"/>
          <w:lang w:val="pl-PL"/>
        </w:rPr>
        <w:t xml:space="preserve"> </w:t>
      </w:r>
      <w:r w:rsidR="00F31AF8">
        <w:rPr>
          <w:color w:val="auto"/>
          <w:sz w:val="20"/>
          <w:lang w:val="pl-PL"/>
        </w:rPr>
        <w:t xml:space="preserve">że </w:t>
      </w:r>
      <w:r w:rsidR="00B857A8">
        <w:rPr>
          <w:color w:val="auto"/>
          <w:sz w:val="20"/>
          <w:lang w:val="pl-PL"/>
        </w:rPr>
        <w:t xml:space="preserve">wprowadzane regulacje nie przyczynią się do uszczelniania systemu podatkowego (wzrost </w:t>
      </w:r>
      <w:r w:rsidR="00E72CC4">
        <w:rPr>
          <w:color w:val="auto"/>
          <w:sz w:val="20"/>
          <w:lang w:val="pl-PL"/>
        </w:rPr>
        <w:t xml:space="preserve">z </w:t>
      </w:r>
      <w:r w:rsidR="00B857A8">
        <w:rPr>
          <w:color w:val="auto"/>
          <w:sz w:val="20"/>
          <w:lang w:val="pl-PL"/>
        </w:rPr>
        <w:t>18 proc. w zeszłym roku).</w:t>
      </w:r>
    </w:p>
    <w:p w:rsidR="00F31AF8" w:rsidRPr="00F31AF8" w:rsidRDefault="00F31AF8" w:rsidP="00F31AF8">
      <w:pPr>
        <w:pStyle w:val="Tekstpodstawowy"/>
        <w:rPr>
          <w:lang w:val="pl-PL"/>
        </w:rPr>
      </w:pPr>
    </w:p>
    <w:p w:rsidR="00F31AF8" w:rsidRPr="00F31AF8" w:rsidRDefault="00857E66" w:rsidP="00F31AF8">
      <w:pPr>
        <w:pStyle w:val="Nagwek2"/>
        <w:rPr>
          <w:color w:val="auto"/>
          <w:sz w:val="20"/>
          <w:lang w:val="pl-PL"/>
        </w:rPr>
      </w:pPr>
      <w:r>
        <w:rPr>
          <w:color w:val="auto"/>
          <w:sz w:val="20"/>
          <w:lang w:val="pl-PL"/>
        </w:rPr>
        <w:t>W</w:t>
      </w:r>
      <w:r w:rsidR="000E7D82">
        <w:rPr>
          <w:color w:val="auto"/>
          <w:sz w:val="20"/>
          <w:lang w:val="pl-PL"/>
        </w:rPr>
        <w:t>yniki badania</w:t>
      </w:r>
      <w:r w:rsidR="002A25F2">
        <w:rPr>
          <w:color w:val="auto"/>
          <w:sz w:val="20"/>
          <w:lang w:val="pl-PL"/>
        </w:rPr>
        <w:t xml:space="preserve"> sugerują też, że </w:t>
      </w:r>
      <w:r w:rsidR="00800D44">
        <w:rPr>
          <w:color w:val="auto"/>
          <w:sz w:val="20"/>
          <w:lang w:val="pl-PL"/>
        </w:rPr>
        <w:t>CFO czują</w:t>
      </w:r>
      <w:r w:rsidR="00B12089">
        <w:rPr>
          <w:color w:val="auto"/>
          <w:sz w:val="20"/>
          <w:lang w:val="pl-PL"/>
        </w:rPr>
        <w:t xml:space="preserve"> się</w:t>
      </w:r>
      <w:r w:rsidR="00800D44">
        <w:rPr>
          <w:color w:val="auto"/>
          <w:sz w:val="20"/>
          <w:lang w:val="pl-PL"/>
        </w:rPr>
        <w:t xml:space="preserve"> coraz bardziej zaniepokojeni</w:t>
      </w:r>
      <w:r w:rsidR="00B12089">
        <w:rPr>
          <w:color w:val="auto"/>
          <w:sz w:val="20"/>
          <w:lang w:val="pl-PL"/>
        </w:rPr>
        <w:t xml:space="preserve"> zaostrzającą się polityką fiskalną państwa.</w:t>
      </w:r>
      <w:r w:rsidR="00800D44">
        <w:rPr>
          <w:color w:val="auto"/>
          <w:sz w:val="20"/>
          <w:lang w:val="pl-PL"/>
        </w:rPr>
        <w:t xml:space="preserve"> Już</w:t>
      </w:r>
      <w:r w:rsidR="000E7D82">
        <w:rPr>
          <w:color w:val="auto"/>
          <w:sz w:val="20"/>
          <w:lang w:val="pl-PL"/>
        </w:rPr>
        <w:t xml:space="preserve"> 58 proc. ankietowanych uważa, że działania MF utrudnią działalność ich firm. Jest to wynik nie</w:t>
      </w:r>
      <w:r w:rsidR="00800D44">
        <w:rPr>
          <w:color w:val="auto"/>
          <w:sz w:val="20"/>
          <w:lang w:val="pl-PL"/>
        </w:rPr>
        <w:t>mal o połowę wyższy niż w</w:t>
      </w:r>
      <w:r w:rsidR="000E7D82">
        <w:rPr>
          <w:color w:val="auto"/>
          <w:sz w:val="20"/>
          <w:lang w:val="pl-PL"/>
        </w:rPr>
        <w:t xml:space="preserve"> ze</w:t>
      </w:r>
      <w:r w:rsidR="00800D44">
        <w:rPr>
          <w:color w:val="auto"/>
          <w:sz w:val="20"/>
          <w:lang w:val="pl-PL"/>
        </w:rPr>
        <w:t>szłym rokiem</w:t>
      </w:r>
      <w:r w:rsidR="007A34CD">
        <w:rPr>
          <w:color w:val="auto"/>
          <w:sz w:val="20"/>
          <w:lang w:val="pl-PL"/>
        </w:rPr>
        <w:t>, w którym</w:t>
      </w:r>
      <w:r w:rsidR="000E7D82">
        <w:rPr>
          <w:color w:val="auto"/>
          <w:sz w:val="20"/>
          <w:lang w:val="pl-PL"/>
        </w:rPr>
        <w:t xml:space="preserve"> takich odpowiedzi było tylko 32 proc. </w:t>
      </w:r>
      <w:r w:rsidR="00567AA4">
        <w:rPr>
          <w:color w:val="auto"/>
          <w:sz w:val="20"/>
          <w:lang w:val="pl-PL"/>
        </w:rPr>
        <w:t xml:space="preserve">Znacznie mniej dyrektorów finansowych (37proc. w stosunku do 66 proc. w zeszłym roku) twierdzi, że wprowadzane przez MF zmiany w polityce podatkowej nie mają wpływu na działalność </w:t>
      </w:r>
      <w:r w:rsidR="00800D44">
        <w:rPr>
          <w:color w:val="auto"/>
          <w:sz w:val="20"/>
          <w:lang w:val="pl-PL"/>
        </w:rPr>
        <w:t xml:space="preserve">ich </w:t>
      </w:r>
      <w:r w:rsidR="00567AA4">
        <w:rPr>
          <w:color w:val="auto"/>
          <w:sz w:val="20"/>
          <w:lang w:val="pl-PL"/>
        </w:rPr>
        <w:t xml:space="preserve">firm. </w:t>
      </w:r>
      <w:r w:rsidR="00FF2A48">
        <w:rPr>
          <w:color w:val="auto"/>
          <w:sz w:val="20"/>
          <w:lang w:val="pl-PL"/>
        </w:rPr>
        <w:t>Co ciekawe, n</w:t>
      </w:r>
      <w:r w:rsidR="00EA1990">
        <w:rPr>
          <w:color w:val="auto"/>
          <w:sz w:val="20"/>
          <w:lang w:val="pl-PL"/>
        </w:rPr>
        <w:t xml:space="preserve">ieco wzrósł procent odpowiedzi </w:t>
      </w:r>
      <w:r w:rsidR="00FF2A48">
        <w:rPr>
          <w:color w:val="auto"/>
          <w:sz w:val="20"/>
          <w:lang w:val="pl-PL"/>
        </w:rPr>
        <w:t>deklarujących, że wprowadzane regulacje ułatwią działalność ich przedsiębiorstw – z 2 proc. w zeszłym roku, do 5 proc. w tym roku.</w:t>
      </w:r>
    </w:p>
    <w:p w:rsidR="00034CDD" w:rsidRPr="005B1E76" w:rsidRDefault="00034CDD" w:rsidP="00034CDD">
      <w:pPr>
        <w:pStyle w:val="Tekstpodstawowy"/>
        <w:rPr>
          <w:sz w:val="20"/>
          <w:lang w:val="pl-PL"/>
        </w:rPr>
      </w:pPr>
      <w:r w:rsidRPr="005B1E76">
        <w:rPr>
          <w:i/>
          <w:noProof/>
          <w:sz w:val="20"/>
          <w:lang w:val="pl-PL" w:eastAsia="pl-PL"/>
        </w:rPr>
        <w:drawing>
          <wp:anchor distT="0" distB="0" distL="114300" distR="114300" simplePos="0" relativeHeight="251673600" behindDoc="0" locked="0" layoutInCell="1" allowOverlap="1" wp14:anchorId="04239AF6" wp14:editId="64FC8B15">
            <wp:simplePos x="0" y="0"/>
            <wp:positionH relativeFrom="margin">
              <wp:posOffset>-15240</wp:posOffset>
            </wp:positionH>
            <wp:positionV relativeFrom="paragraph">
              <wp:posOffset>226695</wp:posOffset>
            </wp:positionV>
            <wp:extent cx="490855" cy="457200"/>
            <wp:effectExtent l="0" t="0" r="444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A48" w:rsidRDefault="00745CA0" w:rsidP="00CB4E15">
      <w:pPr>
        <w:pStyle w:val="Tekstpodstawowy"/>
        <w:spacing w:before="240" w:line="320" w:lineRule="atLeast"/>
        <w:rPr>
          <w:i/>
          <w:sz w:val="20"/>
          <w:lang w:val="pl-PL"/>
        </w:rPr>
      </w:pPr>
      <w:r w:rsidRPr="00745CA0">
        <w:rPr>
          <w:i/>
          <w:sz w:val="20"/>
          <w:lang w:val="pl-PL"/>
        </w:rPr>
        <w:t>Przeprowadzone badanie ponownie wyraźnie pokazuje</w:t>
      </w:r>
      <w:r w:rsidR="00800D44">
        <w:rPr>
          <w:i/>
          <w:sz w:val="20"/>
          <w:lang w:val="pl-PL"/>
        </w:rPr>
        <w:t>,</w:t>
      </w:r>
      <w:r w:rsidRPr="00745CA0">
        <w:rPr>
          <w:i/>
          <w:sz w:val="20"/>
          <w:lang w:val="pl-PL"/>
        </w:rPr>
        <w:t xml:space="preserve"> jak istotny element wśród zadań </w:t>
      </w:r>
      <w:r w:rsidR="00800D44">
        <w:rPr>
          <w:i/>
          <w:sz w:val="20"/>
          <w:lang w:val="pl-PL"/>
        </w:rPr>
        <w:t>dyrektorów f</w:t>
      </w:r>
      <w:r w:rsidRPr="00745CA0">
        <w:rPr>
          <w:i/>
          <w:sz w:val="20"/>
          <w:lang w:val="pl-PL"/>
        </w:rPr>
        <w:t>inansowych stanowią podatki oraz ich zmiany. Utrzymujący się i umacniany kierunek zmian podatkowych zdecydowanie nie sprzyja elastyczności prowadzenia działalności gospodarczej. Zapowiadane ostatnio „szczególna opieka podatkowa” wybranych branż budzi kolejne obawy. Wykazane w poprzednim roku zrozumienie dla wprowadzanych zm</w:t>
      </w:r>
      <w:r>
        <w:rPr>
          <w:i/>
          <w:sz w:val="20"/>
          <w:lang w:val="pl-PL"/>
        </w:rPr>
        <w:t>ian słabnie</w:t>
      </w:r>
      <w:r w:rsidR="00800D44">
        <w:rPr>
          <w:i/>
          <w:sz w:val="20"/>
          <w:lang w:val="pl-PL"/>
        </w:rPr>
        <w:t>,</w:t>
      </w:r>
      <w:r>
        <w:rPr>
          <w:i/>
          <w:sz w:val="20"/>
          <w:lang w:val="pl-PL"/>
        </w:rPr>
        <w:t xml:space="preserve"> co nie może dziwić </w:t>
      </w:r>
      <w:r w:rsidRPr="00745CA0">
        <w:rPr>
          <w:i/>
          <w:sz w:val="20"/>
          <w:lang w:val="pl-PL"/>
        </w:rPr>
        <w:t xml:space="preserve">w świetle pożądanej przez przedsiębiorców stabilności otoczenia prawno-podatkowego. Dodatkowe nakłady pracy wymagane dla spełnienia nowych wymogów nie przekładają się ostatecznie na poprawę </w:t>
      </w:r>
      <w:r>
        <w:rPr>
          <w:i/>
          <w:sz w:val="20"/>
          <w:lang w:val="pl-PL"/>
        </w:rPr>
        <w:t xml:space="preserve">rentowności działalności </w:t>
      </w:r>
      <w:r w:rsidR="00581CA0" w:rsidRPr="005B1E76">
        <w:rPr>
          <w:sz w:val="20"/>
          <w:lang w:val="pl-PL"/>
        </w:rPr>
        <w:t xml:space="preserve">– uważa </w:t>
      </w:r>
      <w:r w:rsidR="00654BB6">
        <w:rPr>
          <w:b/>
          <w:sz w:val="20"/>
          <w:lang w:val="pl-PL"/>
        </w:rPr>
        <w:t>Waldemar Wojtkowiak</w:t>
      </w:r>
      <w:r w:rsidR="00581CA0" w:rsidRPr="005B1E76">
        <w:rPr>
          <w:sz w:val="20"/>
          <w:lang w:val="pl-PL"/>
        </w:rPr>
        <w:t>,</w:t>
      </w:r>
      <w:r w:rsidR="00654BB6">
        <w:rPr>
          <w:sz w:val="20"/>
          <w:lang w:val="pl-PL"/>
        </w:rPr>
        <w:t xml:space="preserve"> Członek Zarządu, </w:t>
      </w:r>
      <w:proofErr w:type="spellStart"/>
      <w:r w:rsidR="00654BB6">
        <w:rPr>
          <w:sz w:val="20"/>
          <w:lang w:val="pl-PL"/>
        </w:rPr>
        <w:t>Euler</w:t>
      </w:r>
      <w:proofErr w:type="spellEnd"/>
      <w:r w:rsidR="00654BB6">
        <w:rPr>
          <w:sz w:val="20"/>
          <w:lang w:val="pl-PL"/>
        </w:rPr>
        <w:t xml:space="preserve"> Hermes</w:t>
      </w:r>
      <w:r w:rsidR="00581CA0" w:rsidRPr="005B1E76">
        <w:rPr>
          <w:sz w:val="20"/>
          <w:lang w:val="pl-PL"/>
        </w:rPr>
        <w:t>.</w:t>
      </w:r>
    </w:p>
    <w:p w:rsidR="00800D44" w:rsidRPr="00800D44" w:rsidRDefault="00800D44" w:rsidP="00CB4E15">
      <w:pPr>
        <w:pStyle w:val="Tekstpodstawowy"/>
        <w:spacing w:before="240" w:line="320" w:lineRule="atLeast"/>
        <w:rPr>
          <w:i/>
          <w:sz w:val="20"/>
          <w:lang w:val="pl-PL"/>
        </w:rPr>
      </w:pPr>
    </w:p>
    <w:p w:rsidR="00F31AF8" w:rsidRPr="005B1E76" w:rsidRDefault="00F31AF8" w:rsidP="00CB4E15">
      <w:pPr>
        <w:pStyle w:val="Tekstpodstawowy"/>
        <w:spacing w:before="240" w:line="320" w:lineRule="atLeast"/>
        <w:rPr>
          <w:sz w:val="20"/>
          <w:lang w:val="pl-PL"/>
        </w:rPr>
      </w:pPr>
    </w:p>
    <w:p w:rsidR="00256B4F" w:rsidRPr="005B1E76" w:rsidRDefault="00D96EDA" w:rsidP="00256B4F">
      <w:pPr>
        <w:pStyle w:val="Nagwek2"/>
        <w:rPr>
          <w:sz w:val="28"/>
          <w:lang w:val="pl-PL"/>
        </w:rPr>
      </w:pPr>
      <w:r w:rsidRPr="005B1E76">
        <w:rPr>
          <w:sz w:val="28"/>
          <w:lang w:val="pl-PL"/>
        </w:rPr>
        <w:t>Kontakt:</w:t>
      </w:r>
    </w:p>
    <w:p w:rsidR="003837CA" w:rsidRPr="005B1E76" w:rsidRDefault="003837CA" w:rsidP="00256B4F">
      <w:pPr>
        <w:rPr>
          <w:b/>
          <w:bCs/>
          <w:sz w:val="20"/>
          <w:szCs w:val="22"/>
          <w:lang w:val="pl-PL"/>
        </w:rPr>
      </w:pPr>
    </w:p>
    <w:p w:rsidR="00256B4F" w:rsidRPr="005B1E76" w:rsidRDefault="00256B4F" w:rsidP="00256B4F">
      <w:pPr>
        <w:rPr>
          <w:b/>
          <w:bCs/>
          <w:sz w:val="20"/>
          <w:szCs w:val="22"/>
          <w:u w:val="single"/>
          <w:lang w:val="pl-PL"/>
        </w:rPr>
      </w:pPr>
      <w:r w:rsidRPr="005B1E76">
        <w:rPr>
          <w:b/>
          <w:bCs/>
          <w:sz w:val="20"/>
          <w:szCs w:val="22"/>
          <w:lang w:val="pl-PL"/>
        </w:rPr>
        <w:t>Jacek Kowalczyk</w:t>
      </w:r>
    </w:p>
    <w:p w:rsidR="00256B4F" w:rsidRPr="005B1E76" w:rsidRDefault="003837CA" w:rsidP="00256B4F">
      <w:pPr>
        <w:rPr>
          <w:sz w:val="20"/>
          <w:szCs w:val="22"/>
          <w:lang w:val="pl-PL"/>
        </w:rPr>
      </w:pPr>
      <w:r w:rsidRPr="005B1E76">
        <w:rPr>
          <w:sz w:val="20"/>
          <w:szCs w:val="22"/>
          <w:lang w:val="pl-PL"/>
        </w:rPr>
        <w:t>Grant Thornton</w:t>
      </w:r>
    </w:p>
    <w:p w:rsidR="00256B4F" w:rsidRPr="005B1E76" w:rsidRDefault="00256B4F" w:rsidP="00256B4F">
      <w:pPr>
        <w:rPr>
          <w:sz w:val="20"/>
          <w:szCs w:val="22"/>
          <w:lang w:val="pl-PL"/>
        </w:rPr>
      </w:pPr>
      <w:r w:rsidRPr="005B1E76">
        <w:rPr>
          <w:sz w:val="20"/>
          <w:szCs w:val="22"/>
          <w:lang w:val="pl-PL"/>
        </w:rPr>
        <w:t xml:space="preserve">Dyrektor ds. </w:t>
      </w:r>
      <w:r w:rsidR="003837CA" w:rsidRPr="005B1E76">
        <w:rPr>
          <w:sz w:val="20"/>
          <w:szCs w:val="22"/>
          <w:lang w:val="pl-PL"/>
        </w:rPr>
        <w:t>Marketingu i PR</w:t>
      </w:r>
    </w:p>
    <w:p w:rsidR="00256B4F" w:rsidRPr="005B1E76" w:rsidRDefault="00256B4F" w:rsidP="00256B4F">
      <w:pPr>
        <w:rPr>
          <w:sz w:val="20"/>
          <w:szCs w:val="22"/>
          <w:lang w:val="pl-PL"/>
        </w:rPr>
      </w:pPr>
      <w:r w:rsidRPr="005B1E76">
        <w:rPr>
          <w:b/>
          <w:sz w:val="20"/>
          <w:szCs w:val="22"/>
          <w:lang w:val="pl-PL"/>
        </w:rPr>
        <w:t>E</w:t>
      </w:r>
      <w:r w:rsidRPr="005B1E76">
        <w:rPr>
          <w:sz w:val="20"/>
          <w:szCs w:val="22"/>
          <w:lang w:val="pl-PL"/>
        </w:rPr>
        <w:t xml:space="preserve"> </w:t>
      </w:r>
      <w:hyperlink r:id="rId10" w:history="1">
        <w:r w:rsidRPr="005B1E76">
          <w:rPr>
            <w:rStyle w:val="Hipercze"/>
            <w:sz w:val="20"/>
            <w:szCs w:val="22"/>
            <w:lang w:val="pl-PL"/>
          </w:rPr>
          <w:t>jacek.kowalczyk@pl.gt.com</w:t>
        </w:r>
      </w:hyperlink>
    </w:p>
    <w:p w:rsidR="00256B4F" w:rsidRPr="005B1E76" w:rsidRDefault="00256B4F" w:rsidP="00256B4F">
      <w:pPr>
        <w:rPr>
          <w:bCs/>
          <w:sz w:val="20"/>
          <w:szCs w:val="22"/>
          <w:lang w:val="pl-PL"/>
        </w:rPr>
      </w:pPr>
      <w:r w:rsidRPr="005B1E76">
        <w:rPr>
          <w:b/>
          <w:bCs/>
          <w:sz w:val="20"/>
          <w:szCs w:val="22"/>
          <w:lang w:val="pl-PL"/>
        </w:rPr>
        <w:t>T</w:t>
      </w:r>
      <w:r w:rsidRPr="005B1E76">
        <w:rPr>
          <w:bCs/>
          <w:sz w:val="20"/>
          <w:szCs w:val="22"/>
          <w:lang w:val="pl-PL"/>
        </w:rPr>
        <w:t xml:space="preserve"> +48</w:t>
      </w:r>
      <w:r w:rsidR="003837CA" w:rsidRPr="005B1E76">
        <w:rPr>
          <w:bCs/>
          <w:sz w:val="20"/>
          <w:szCs w:val="22"/>
          <w:lang w:val="pl-PL"/>
        </w:rPr>
        <w:t xml:space="preserve"> 22 205 48 41, +48 505 024 168</w:t>
      </w:r>
      <w:r w:rsidRPr="005B1E76">
        <w:rPr>
          <w:bCs/>
          <w:sz w:val="20"/>
          <w:szCs w:val="22"/>
          <w:lang w:val="pl-PL"/>
        </w:rPr>
        <w:tab/>
        <w:t xml:space="preserve"> </w:t>
      </w:r>
    </w:p>
    <w:p w:rsidR="00D96EDA" w:rsidRPr="005B1E76" w:rsidRDefault="00BC104A" w:rsidP="00B75BE1">
      <w:pPr>
        <w:rPr>
          <w:bCs/>
          <w:sz w:val="20"/>
          <w:szCs w:val="22"/>
          <w:lang w:val="pl-PL"/>
        </w:rPr>
      </w:pPr>
      <w:hyperlink r:id="rId11" w:history="1">
        <w:r w:rsidR="00256B4F" w:rsidRPr="005B1E76">
          <w:rPr>
            <w:rStyle w:val="Hipercze"/>
            <w:bCs/>
            <w:sz w:val="20"/>
            <w:szCs w:val="22"/>
            <w:lang w:val="pl-PL"/>
          </w:rPr>
          <w:t>www.grantthornton.pl</w:t>
        </w:r>
      </w:hyperlink>
    </w:p>
    <w:p w:rsidR="003837CA" w:rsidRPr="005B1E76" w:rsidRDefault="003837CA" w:rsidP="00D96EDA">
      <w:pPr>
        <w:pStyle w:val="Tekstpodstawowy"/>
        <w:rPr>
          <w:b/>
          <w:lang w:val="pl-PL"/>
        </w:rPr>
      </w:pPr>
    </w:p>
    <w:p w:rsidR="00C0271B" w:rsidRPr="005B1E76" w:rsidRDefault="00D96EDA" w:rsidP="003837CA">
      <w:pPr>
        <w:pStyle w:val="Tekstpodstawowy"/>
        <w:rPr>
          <w:lang w:val="pl-PL"/>
        </w:rPr>
      </w:pPr>
      <w:r w:rsidRPr="005B1E76">
        <w:rPr>
          <w:b/>
          <w:lang w:val="pl-PL"/>
        </w:rPr>
        <w:t>Grant Thornton</w:t>
      </w:r>
      <w:r w:rsidRPr="005B1E76">
        <w:rPr>
          <w:lang w:val="pl-PL"/>
        </w:rPr>
        <w:t xml:space="preserve"> to jedna z wiodących organizacji audytorsko-doradczych na świecie. Wiedza, doświadczenie i zaangażowan</w:t>
      </w:r>
      <w:r w:rsidR="00035068" w:rsidRPr="005B1E76">
        <w:rPr>
          <w:lang w:val="pl-PL"/>
        </w:rPr>
        <w:t>ie ponad 3 000 partnerów oraz 50</w:t>
      </w:r>
      <w:r w:rsidRPr="005B1E76">
        <w:rPr>
          <w:lang w:val="pl-PL"/>
        </w:rPr>
        <w:t xml:space="preserve"> 000 pracowników Grant Thornton dost</w:t>
      </w:r>
      <w:r w:rsidR="00035068" w:rsidRPr="005B1E76">
        <w:rPr>
          <w:lang w:val="pl-PL"/>
        </w:rPr>
        <w:t>ępne są dla klientów w ponad 136</w:t>
      </w:r>
      <w:r w:rsidRPr="005B1E76">
        <w:rPr>
          <w:lang w:val="pl-PL"/>
        </w:rPr>
        <w:t xml:space="preserve"> </w:t>
      </w:r>
      <w:r w:rsidR="00035068" w:rsidRPr="005B1E76">
        <w:rPr>
          <w:lang w:val="pl-PL"/>
        </w:rPr>
        <w:t>krajach. W Polsce działamy od 25 lat, a 550</w:t>
      </w:r>
      <w:r w:rsidRPr="005B1E76">
        <w:rPr>
          <w:lang w:val="pl-PL"/>
        </w:rPr>
        <w:t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</w:t>
      </w:r>
      <w:r w:rsidR="00035068" w:rsidRPr="005B1E76">
        <w:rPr>
          <w:lang w:val="pl-PL"/>
        </w:rPr>
        <w:t>ienta. Klienci firmy to ponad 15</w:t>
      </w:r>
      <w:r w:rsidRPr="005B1E76">
        <w:rPr>
          <w:lang w:val="pl-PL"/>
        </w:rPr>
        <w:t xml:space="preserve">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2" w:history="1">
        <w:r w:rsidRPr="005B1E76">
          <w:rPr>
            <w:rStyle w:val="Hipercze"/>
            <w:lang w:val="pl-PL"/>
          </w:rPr>
          <w:t>www.grantthornton.pl</w:t>
        </w:r>
      </w:hyperlink>
      <w:r w:rsidRPr="005B1E76">
        <w:rPr>
          <w:lang w:val="pl-PL"/>
        </w:rPr>
        <w:t xml:space="preserve"> </w:t>
      </w:r>
    </w:p>
    <w:sectPr w:rsidR="00C0271B" w:rsidRPr="005B1E76" w:rsidSect="00256B4F">
      <w:headerReference w:type="default" r:id="rId13"/>
      <w:headerReference w:type="first" r:id="rId14"/>
      <w:pgSz w:w="11907" w:h="16840" w:code="9"/>
      <w:pgMar w:top="1843" w:right="913" w:bottom="913" w:left="91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4A" w:rsidRDefault="00BC104A">
      <w:r>
        <w:separator/>
      </w:r>
    </w:p>
  </w:endnote>
  <w:endnote w:type="continuationSeparator" w:id="0">
    <w:p w:rsidR="00BC104A" w:rsidRDefault="00BC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4A" w:rsidRDefault="00BC104A">
      <w:bookmarkStart w:id="0" w:name="_Hlk482343305"/>
      <w:bookmarkEnd w:id="0"/>
      <w:r>
        <w:separator/>
      </w:r>
    </w:p>
  </w:footnote>
  <w:footnote w:type="continuationSeparator" w:id="0">
    <w:p w:rsidR="00BC104A" w:rsidRDefault="00BC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844810" w:rsidP="000806B4">
    <w:pPr>
      <w:pStyle w:val="Nagwek"/>
      <w:tabs>
        <w:tab w:val="clear" w:pos="8562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8D1054" w:rsidP="002A346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1119505"/>
              <wp:effectExtent l="0" t="0" r="1778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7"/>
                          </w:tblGrid>
                          <w:tr w:rsidR="002A346F" w:rsidTr="0053174F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2A346F" w:rsidP="004F5624">
                                <w:pPr>
                                  <w:spacing w:before="38"/>
                                  <w:ind w:left="43"/>
                                </w:pPr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8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Irrw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7"/>
                    </w:tblGrid>
                    <w:tr w:rsidR="002A346F" w:rsidTr="0053174F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2A346F" w:rsidP="004F5624">
                          <w:pPr>
                            <w:spacing w:before="38"/>
                            <w:ind w:left="43"/>
                          </w:pPr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  <w:r w:rsidR="00EA0AE5">
      <w:t xml:space="preserve">                                                                                                  </w:t>
    </w:r>
  </w:p>
  <w:p w:rsidR="00EA0AE5" w:rsidRDefault="00CC39DC" w:rsidP="002A346F">
    <w:pPr>
      <w:pStyle w:val="Nagwek"/>
    </w:pPr>
    <w:bookmarkStart w:id="2" w:name="Cover_tbl"/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2233930" cy="49530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7FECCD19" wp14:editId="3A8546AC">
          <wp:extent cx="2036068" cy="627889"/>
          <wp:effectExtent l="0" t="0" r="2540" b="127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EA0AE5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</w:t>
    </w:r>
  </w:p>
  <w:p w:rsidR="00826181" w:rsidRDefault="00826181" w:rsidP="002A346F">
    <w:pPr>
      <w:pStyle w:val="Nagwek"/>
    </w:pPr>
  </w:p>
  <w:p w:rsidR="002A346F" w:rsidRPr="009D3931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    </w:t>
    </w:r>
    <w:r w:rsidR="00EA0AE5">
      <w:t xml:space="preserve">                  </w:t>
    </w: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C91C25"/>
    <w:multiLevelType w:val="multilevel"/>
    <w:tmpl w:val="98FC98AC"/>
    <w:numStyleLink w:val="GTListNumber"/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5DDB5E6E"/>
    <w:multiLevelType w:val="multilevel"/>
    <w:tmpl w:val="FAE6F968"/>
    <w:numStyleLink w:val="GTListBullet"/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12"/>
  </w:num>
  <w:num w:numId="3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C34465"/>
    <w:rsid w:val="000039CC"/>
    <w:rsid w:val="00034CDD"/>
    <w:rsid w:val="00035068"/>
    <w:rsid w:val="00042E0C"/>
    <w:rsid w:val="00043CEE"/>
    <w:rsid w:val="00044CAF"/>
    <w:rsid w:val="0004625B"/>
    <w:rsid w:val="00046EAF"/>
    <w:rsid w:val="000625DB"/>
    <w:rsid w:val="0006643A"/>
    <w:rsid w:val="000701DD"/>
    <w:rsid w:val="00070700"/>
    <w:rsid w:val="0007141E"/>
    <w:rsid w:val="000756B2"/>
    <w:rsid w:val="00075731"/>
    <w:rsid w:val="00076FAB"/>
    <w:rsid w:val="000806B4"/>
    <w:rsid w:val="00080BC4"/>
    <w:rsid w:val="00081971"/>
    <w:rsid w:val="000A27C2"/>
    <w:rsid w:val="000A4BAF"/>
    <w:rsid w:val="000A68FB"/>
    <w:rsid w:val="000B0ED9"/>
    <w:rsid w:val="000B475C"/>
    <w:rsid w:val="000C1BD5"/>
    <w:rsid w:val="000C38DE"/>
    <w:rsid w:val="000C795C"/>
    <w:rsid w:val="000D06D5"/>
    <w:rsid w:val="000D618C"/>
    <w:rsid w:val="000D7732"/>
    <w:rsid w:val="000E05DA"/>
    <w:rsid w:val="000E2707"/>
    <w:rsid w:val="000E3F6A"/>
    <w:rsid w:val="000E7D82"/>
    <w:rsid w:val="000F4735"/>
    <w:rsid w:val="000F5A63"/>
    <w:rsid w:val="0010499F"/>
    <w:rsid w:val="00111187"/>
    <w:rsid w:val="00113CAB"/>
    <w:rsid w:val="0011432B"/>
    <w:rsid w:val="001218DC"/>
    <w:rsid w:val="001237E5"/>
    <w:rsid w:val="00147FBD"/>
    <w:rsid w:val="00150A84"/>
    <w:rsid w:val="00151E4E"/>
    <w:rsid w:val="00152B81"/>
    <w:rsid w:val="00155125"/>
    <w:rsid w:val="0015533A"/>
    <w:rsid w:val="00157D72"/>
    <w:rsid w:val="001611CC"/>
    <w:rsid w:val="00170523"/>
    <w:rsid w:val="001878B4"/>
    <w:rsid w:val="001A40F2"/>
    <w:rsid w:val="001B26C4"/>
    <w:rsid w:val="001B475A"/>
    <w:rsid w:val="001B565D"/>
    <w:rsid w:val="001C3426"/>
    <w:rsid w:val="001C4EA0"/>
    <w:rsid w:val="001C5CC6"/>
    <w:rsid w:val="001D0268"/>
    <w:rsid w:val="001D1A4F"/>
    <w:rsid w:val="001D4ECE"/>
    <w:rsid w:val="001D61CA"/>
    <w:rsid w:val="001E5315"/>
    <w:rsid w:val="00207BB2"/>
    <w:rsid w:val="0021117D"/>
    <w:rsid w:val="00214BDC"/>
    <w:rsid w:val="00215284"/>
    <w:rsid w:val="00217CF3"/>
    <w:rsid w:val="00224FB0"/>
    <w:rsid w:val="002276A4"/>
    <w:rsid w:val="00234FE5"/>
    <w:rsid w:val="0023771B"/>
    <w:rsid w:val="00237E16"/>
    <w:rsid w:val="002509DF"/>
    <w:rsid w:val="00253326"/>
    <w:rsid w:val="00256B4F"/>
    <w:rsid w:val="00265C4A"/>
    <w:rsid w:val="00271A44"/>
    <w:rsid w:val="00272546"/>
    <w:rsid w:val="002758A2"/>
    <w:rsid w:val="00277011"/>
    <w:rsid w:val="00277D6E"/>
    <w:rsid w:val="002808A1"/>
    <w:rsid w:val="00285418"/>
    <w:rsid w:val="002A25AC"/>
    <w:rsid w:val="002A25F2"/>
    <w:rsid w:val="002A2778"/>
    <w:rsid w:val="002A346F"/>
    <w:rsid w:val="002A6E22"/>
    <w:rsid w:val="002B08F6"/>
    <w:rsid w:val="002B0AAE"/>
    <w:rsid w:val="002B2BEF"/>
    <w:rsid w:val="002C67AE"/>
    <w:rsid w:val="002D2F38"/>
    <w:rsid w:val="002D64D8"/>
    <w:rsid w:val="002E313A"/>
    <w:rsid w:val="002F0682"/>
    <w:rsid w:val="002F3579"/>
    <w:rsid w:val="00302988"/>
    <w:rsid w:val="0031113E"/>
    <w:rsid w:val="00312DA1"/>
    <w:rsid w:val="003168AC"/>
    <w:rsid w:val="00320D93"/>
    <w:rsid w:val="00321ADF"/>
    <w:rsid w:val="003257A9"/>
    <w:rsid w:val="00326F43"/>
    <w:rsid w:val="00327CD1"/>
    <w:rsid w:val="00334339"/>
    <w:rsid w:val="0034231F"/>
    <w:rsid w:val="00346845"/>
    <w:rsid w:val="0036427C"/>
    <w:rsid w:val="003644CB"/>
    <w:rsid w:val="00377BC2"/>
    <w:rsid w:val="00381B5F"/>
    <w:rsid w:val="003837CA"/>
    <w:rsid w:val="00384392"/>
    <w:rsid w:val="00386C3C"/>
    <w:rsid w:val="00387218"/>
    <w:rsid w:val="003910C2"/>
    <w:rsid w:val="00393F03"/>
    <w:rsid w:val="003A146F"/>
    <w:rsid w:val="003A7DBE"/>
    <w:rsid w:val="003B6487"/>
    <w:rsid w:val="003D4CE1"/>
    <w:rsid w:val="003D5290"/>
    <w:rsid w:val="003D739B"/>
    <w:rsid w:val="003E304E"/>
    <w:rsid w:val="00413761"/>
    <w:rsid w:val="00416571"/>
    <w:rsid w:val="004173DD"/>
    <w:rsid w:val="00417906"/>
    <w:rsid w:val="00421866"/>
    <w:rsid w:val="004402C0"/>
    <w:rsid w:val="004402D6"/>
    <w:rsid w:val="00446F20"/>
    <w:rsid w:val="0044714E"/>
    <w:rsid w:val="004478E4"/>
    <w:rsid w:val="00452223"/>
    <w:rsid w:val="00454E86"/>
    <w:rsid w:val="00454EE9"/>
    <w:rsid w:val="00456226"/>
    <w:rsid w:val="00460B37"/>
    <w:rsid w:val="00461074"/>
    <w:rsid w:val="0046346F"/>
    <w:rsid w:val="00471624"/>
    <w:rsid w:val="004839D9"/>
    <w:rsid w:val="00483D14"/>
    <w:rsid w:val="00486D91"/>
    <w:rsid w:val="004A3A67"/>
    <w:rsid w:val="004C2133"/>
    <w:rsid w:val="004C2F65"/>
    <w:rsid w:val="004C3BDF"/>
    <w:rsid w:val="004C7180"/>
    <w:rsid w:val="004D71E3"/>
    <w:rsid w:val="004E35A1"/>
    <w:rsid w:val="004F13CA"/>
    <w:rsid w:val="004F2518"/>
    <w:rsid w:val="004F5B34"/>
    <w:rsid w:val="00501D96"/>
    <w:rsid w:val="00503485"/>
    <w:rsid w:val="0050649B"/>
    <w:rsid w:val="00510B7F"/>
    <w:rsid w:val="0051240A"/>
    <w:rsid w:val="0051322A"/>
    <w:rsid w:val="005171B1"/>
    <w:rsid w:val="005220CB"/>
    <w:rsid w:val="00522D5C"/>
    <w:rsid w:val="005409D4"/>
    <w:rsid w:val="00555FAA"/>
    <w:rsid w:val="00556308"/>
    <w:rsid w:val="00561214"/>
    <w:rsid w:val="00562C39"/>
    <w:rsid w:val="00565E8B"/>
    <w:rsid w:val="00567AA4"/>
    <w:rsid w:val="005713AD"/>
    <w:rsid w:val="00581CA0"/>
    <w:rsid w:val="00585884"/>
    <w:rsid w:val="00596DA8"/>
    <w:rsid w:val="00597D4D"/>
    <w:rsid w:val="005A210C"/>
    <w:rsid w:val="005A2D44"/>
    <w:rsid w:val="005A7B1F"/>
    <w:rsid w:val="005B105D"/>
    <w:rsid w:val="005B10F9"/>
    <w:rsid w:val="005B1E76"/>
    <w:rsid w:val="005C01A8"/>
    <w:rsid w:val="005C061C"/>
    <w:rsid w:val="005C377A"/>
    <w:rsid w:val="005D0F1E"/>
    <w:rsid w:val="005E278A"/>
    <w:rsid w:val="005E4EF5"/>
    <w:rsid w:val="005F575C"/>
    <w:rsid w:val="005F7CD0"/>
    <w:rsid w:val="00610ED7"/>
    <w:rsid w:val="0061379E"/>
    <w:rsid w:val="00617181"/>
    <w:rsid w:val="0062048C"/>
    <w:rsid w:val="00621FC6"/>
    <w:rsid w:val="00622B1C"/>
    <w:rsid w:val="00635CE5"/>
    <w:rsid w:val="00636F0B"/>
    <w:rsid w:val="00640ED0"/>
    <w:rsid w:val="00642404"/>
    <w:rsid w:val="00644D1A"/>
    <w:rsid w:val="0064769A"/>
    <w:rsid w:val="006534C9"/>
    <w:rsid w:val="00654BB6"/>
    <w:rsid w:val="00654DC1"/>
    <w:rsid w:val="0065691F"/>
    <w:rsid w:val="006661DB"/>
    <w:rsid w:val="00667392"/>
    <w:rsid w:val="00675EDB"/>
    <w:rsid w:val="00685ED7"/>
    <w:rsid w:val="00694203"/>
    <w:rsid w:val="00695784"/>
    <w:rsid w:val="006A72A4"/>
    <w:rsid w:val="006C4D65"/>
    <w:rsid w:val="006D46B7"/>
    <w:rsid w:val="006D4905"/>
    <w:rsid w:val="006D75F0"/>
    <w:rsid w:val="006F016B"/>
    <w:rsid w:val="006F6C0F"/>
    <w:rsid w:val="0072791F"/>
    <w:rsid w:val="0073386D"/>
    <w:rsid w:val="0073617A"/>
    <w:rsid w:val="00745CA0"/>
    <w:rsid w:val="00746775"/>
    <w:rsid w:val="00750AFB"/>
    <w:rsid w:val="00753038"/>
    <w:rsid w:val="00760EC0"/>
    <w:rsid w:val="007618B5"/>
    <w:rsid w:val="00763735"/>
    <w:rsid w:val="00764C31"/>
    <w:rsid w:val="00771DEC"/>
    <w:rsid w:val="00775FB9"/>
    <w:rsid w:val="00780994"/>
    <w:rsid w:val="007827DA"/>
    <w:rsid w:val="00784FF6"/>
    <w:rsid w:val="0078540D"/>
    <w:rsid w:val="007856A9"/>
    <w:rsid w:val="007932FF"/>
    <w:rsid w:val="007A294A"/>
    <w:rsid w:val="007A34CD"/>
    <w:rsid w:val="007B27A6"/>
    <w:rsid w:val="007D03AA"/>
    <w:rsid w:val="007D2ED2"/>
    <w:rsid w:val="007D6120"/>
    <w:rsid w:val="007E66D0"/>
    <w:rsid w:val="007F1FEE"/>
    <w:rsid w:val="00800D44"/>
    <w:rsid w:val="00810F8D"/>
    <w:rsid w:val="00812F8E"/>
    <w:rsid w:val="00813F04"/>
    <w:rsid w:val="00814D12"/>
    <w:rsid w:val="00826181"/>
    <w:rsid w:val="00826DBC"/>
    <w:rsid w:val="0083383F"/>
    <w:rsid w:val="00836E67"/>
    <w:rsid w:val="008430F7"/>
    <w:rsid w:val="00844810"/>
    <w:rsid w:val="00850CD5"/>
    <w:rsid w:val="00851A1A"/>
    <w:rsid w:val="00857E66"/>
    <w:rsid w:val="008600CC"/>
    <w:rsid w:val="0086521C"/>
    <w:rsid w:val="00866AAB"/>
    <w:rsid w:val="00867DA5"/>
    <w:rsid w:val="00876BC2"/>
    <w:rsid w:val="008804A2"/>
    <w:rsid w:val="0089023A"/>
    <w:rsid w:val="00890419"/>
    <w:rsid w:val="008B4B58"/>
    <w:rsid w:val="008C209A"/>
    <w:rsid w:val="008D1054"/>
    <w:rsid w:val="008D157E"/>
    <w:rsid w:val="008D209E"/>
    <w:rsid w:val="008D222B"/>
    <w:rsid w:val="008D74D6"/>
    <w:rsid w:val="008E10AD"/>
    <w:rsid w:val="008E3374"/>
    <w:rsid w:val="008E4DF5"/>
    <w:rsid w:val="008E5AE0"/>
    <w:rsid w:val="008F2B04"/>
    <w:rsid w:val="008F6165"/>
    <w:rsid w:val="009060D1"/>
    <w:rsid w:val="00912FA0"/>
    <w:rsid w:val="00913CBF"/>
    <w:rsid w:val="00914E87"/>
    <w:rsid w:val="009212C4"/>
    <w:rsid w:val="00921BA6"/>
    <w:rsid w:val="0092329E"/>
    <w:rsid w:val="00924F32"/>
    <w:rsid w:val="009261A6"/>
    <w:rsid w:val="00932AD9"/>
    <w:rsid w:val="00937767"/>
    <w:rsid w:val="00937890"/>
    <w:rsid w:val="009426E2"/>
    <w:rsid w:val="00953E72"/>
    <w:rsid w:val="0095431E"/>
    <w:rsid w:val="00956C42"/>
    <w:rsid w:val="00957DC1"/>
    <w:rsid w:val="009607A2"/>
    <w:rsid w:val="00960D42"/>
    <w:rsid w:val="0096347F"/>
    <w:rsid w:val="00963742"/>
    <w:rsid w:val="0096530C"/>
    <w:rsid w:val="0096573B"/>
    <w:rsid w:val="00965F67"/>
    <w:rsid w:val="00966C88"/>
    <w:rsid w:val="009816B3"/>
    <w:rsid w:val="00986F4C"/>
    <w:rsid w:val="009903B5"/>
    <w:rsid w:val="00990FB1"/>
    <w:rsid w:val="00991590"/>
    <w:rsid w:val="00993F5F"/>
    <w:rsid w:val="009A5FC4"/>
    <w:rsid w:val="009A6E18"/>
    <w:rsid w:val="009B0AC2"/>
    <w:rsid w:val="009B2BA2"/>
    <w:rsid w:val="009B3593"/>
    <w:rsid w:val="009B3786"/>
    <w:rsid w:val="009C283F"/>
    <w:rsid w:val="009C3CB0"/>
    <w:rsid w:val="009C6571"/>
    <w:rsid w:val="009D0AB5"/>
    <w:rsid w:val="009E6EF3"/>
    <w:rsid w:val="009E7679"/>
    <w:rsid w:val="009E7B56"/>
    <w:rsid w:val="009F463E"/>
    <w:rsid w:val="009F53E2"/>
    <w:rsid w:val="00A005C3"/>
    <w:rsid w:val="00A01F63"/>
    <w:rsid w:val="00A17BF8"/>
    <w:rsid w:val="00A211E0"/>
    <w:rsid w:val="00A216A3"/>
    <w:rsid w:val="00A2430C"/>
    <w:rsid w:val="00A262EB"/>
    <w:rsid w:val="00A33FC2"/>
    <w:rsid w:val="00A46AEA"/>
    <w:rsid w:val="00A50B72"/>
    <w:rsid w:val="00A6125C"/>
    <w:rsid w:val="00A62D96"/>
    <w:rsid w:val="00A63224"/>
    <w:rsid w:val="00A64061"/>
    <w:rsid w:val="00A8129E"/>
    <w:rsid w:val="00A84CA5"/>
    <w:rsid w:val="00A86935"/>
    <w:rsid w:val="00A90C1B"/>
    <w:rsid w:val="00A91CF7"/>
    <w:rsid w:val="00A924C3"/>
    <w:rsid w:val="00A930E2"/>
    <w:rsid w:val="00AA0249"/>
    <w:rsid w:val="00AB1129"/>
    <w:rsid w:val="00AB5EEF"/>
    <w:rsid w:val="00AC3EC8"/>
    <w:rsid w:val="00AC6748"/>
    <w:rsid w:val="00AC68F2"/>
    <w:rsid w:val="00AC6C9A"/>
    <w:rsid w:val="00AD0250"/>
    <w:rsid w:val="00AD053A"/>
    <w:rsid w:val="00AD14A0"/>
    <w:rsid w:val="00AD1506"/>
    <w:rsid w:val="00AD7D97"/>
    <w:rsid w:val="00AE014A"/>
    <w:rsid w:val="00AE0A9C"/>
    <w:rsid w:val="00AE3D8B"/>
    <w:rsid w:val="00AF1893"/>
    <w:rsid w:val="00B00055"/>
    <w:rsid w:val="00B035A1"/>
    <w:rsid w:val="00B12089"/>
    <w:rsid w:val="00B12DA0"/>
    <w:rsid w:val="00B22A1A"/>
    <w:rsid w:val="00B33EA0"/>
    <w:rsid w:val="00B35DE8"/>
    <w:rsid w:val="00B4319E"/>
    <w:rsid w:val="00B44D7D"/>
    <w:rsid w:val="00B56F9F"/>
    <w:rsid w:val="00B633EF"/>
    <w:rsid w:val="00B65830"/>
    <w:rsid w:val="00B7324A"/>
    <w:rsid w:val="00B75BE1"/>
    <w:rsid w:val="00B84E8A"/>
    <w:rsid w:val="00B857A8"/>
    <w:rsid w:val="00B857BF"/>
    <w:rsid w:val="00B87565"/>
    <w:rsid w:val="00B91EA2"/>
    <w:rsid w:val="00B95730"/>
    <w:rsid w:val="00BB2359"/>
    <w:rsid w:val="00BB3FBB"/>
    <w:rsid w:val="00BC0CD8"/>
    <w:rsid w:val="00BC104A"/>
    <w:rsid w:val="00BC4928"/>
    <w:rsid w:val="00BD67D8"/>
    <w:rsid w:val="00BE18F9"/>
    <w:rsid w:val="00BE1BA2"/>
    <w:rsid w:val="00BF3951"/>
    <w:rsid w:val="00C007BF"/>
    <w:rsid w:val="00C01588"/>
    <w:rsid w:val="00C0271B"/>
    <w:rsid w:val="00C100A6"/>
    <w:rsid w:val="00C14EB9"/>
    <w:rsid w:val="00C1606F"/>
    <w:rsid w:val="00C20A43"/>
    <w:rsid w:val="00C305E3"/>
    <w:rsid w:val="00C34465"/>
    <w:rsid w:val="00C36308"/>
    <w:rsid w:val="00C42DE0"/>
    <w:rsid w:val="00C43EBA"/>
    <w:rsid w:val="00C46435"/>
    <w:rsid w:val="00C47E18"/>
    <w:rsid w:val="00C54674"/>
    <w:rsid w:val="00C551D0"/>
    <w:rsid w:val="00C62122"/>
    <w:rsid w:val="00C65A06"/>
    <w:rsid w:val="00C6750C"/>
    <w:rsid w:val="00C703F7"/>
    <w:rsid w:val="00C73475"/>
    <w:rsid w:val="00C73F93"/>
    <w:rsid w:val="00C80A81"/>
    <w:rsid w:val="00C846C1"/>
    <w:rsid w:val="00C87ED0"/>
    <w:rsid w:val="00C91ADD"/>
    <w:rsid w:val="00C925AA"/>
    <w:rsid w:val="00C94E43"/>
    <w:rsid w:val="00C9573C"/>
    <w:rsid w:val="00C972AC"/>
    <w:rsid w:val="00CB0FD7"/>
    <w:rsid w:val="00CB4E15"/>
    <w:rsid w:val="00CC39DC"/>
    <w:rsid w:val="00CD0E68"/>
    <w:rsid w:val="00CD24B6"/>
    <w:rsid w:val="00CE47B3"/>
    <w:rsid w:val="00CF076A"/>
    <w:rsid w:val="00D01381"/>
    <w:rsid w:val="00D10F24"/>
    <w:rsid w:val="00D1478A"/>
    <w:rsid w:val="00D14BEE"/>
    <w:rsid w:val="00D16F2A"/>
    <w:rsid w:val="00D17968"/>
    <w:rsid w:val="00D17BA5"/>
    <w:rsid w:val="00D20D94"/>
    <w:rsid w:val="00D27833"/>
    <w:rsid w:val="00D27A86"/>
    <w:rsid w:val="00D30B9E"/>
    <w:rsid w:val="00D30F41"/>
    <w:rsid w:val="00D36C60"/>
    <w:rsid w:val="00D41D52"/>
    <w:rsid w:val="00D42C3C"/>
    <w:rsid w:val="00D60DD8"/>
    <w:rsid w:val="00D64BAE"/>
    <w:rsid w:val="00D67335"/>
    <w:rsid w:val="00D73DE6"/>
    <w:rsid w:val="00D75EB2"/>
    <w:rsid w:val="00D81A81"/>
    <w:rsid w:val="00D84515"/>
    <w:rsid w:val="00D85AF6"/>
    <w:rsid w:val="00D87FFC"/>
    <w:rsid w:val="00D90C3D"/>
    <w:rsid w:val="00D94112"/>
    <w:rsid w:val="00D95E65"/>
    <w:rsid w:val="00D96EDA"/>
    <w:rsid w:val="00D9732D"/>
    <w:rsid w:val="00DA1E7F"/>
    <w:rsid w:val="00DA3CDE"/>
    <w:rsid w:val="00DA7987"/>
    <w:rsid w:val="00DB1E9A"/>
    <w:rsid w:val="00DB23C4"/>
    <w:rsid w:val="00DB256F"/>
    <w:rsid w:val="00DB61FF"/>
    <w:rsid w:val="00DD4B6F"/>
    <w:rsid w:val="00DE1472"/>
    <w:rsid w:val="00DE2030"/>
    <w:rsid w:val="00DE2C37"/>
    <w:rsid w:val="00DE7BA9"/>
    <w:rsid w:val="00DF2C55"/>
    <w:rsid w:val="00E0354B"/>
    <w:rsid w:val="00E0428A"/>
    <w:rsid w:val="00E05542"/>
    <w:rsid w:val="00E0586D"/>
    <w:rsid w:val="00E12AA3"/>
    <w:rsid w:val="00E146FA"/>
    <w:rsid w:val="00E14F28"/>
    <w:rsid w:val="00E25946"/>
    <w:rsid w:val="00E25F1D"/>
    <w:rsid w:val="00E36278"/>
    <w:rsid w:val="00E603AD"/>
    <w:rsid w:val="00E62DFD"/>
    <w:rsid w:val="00E630EA"/>
    <w:rsid w:val="00E64660"/>
    <w:rsid w:val="00E65B8F"/>
    <w:rsid w:val="00E71CC8"/>
    <w:rsid w:val="00E72CC4"/>
    <w:rsid w:val="00E76712"/>
    <w:rsid w:val="00E80098"/>
    <w:rsid w:val="00E9082D"/>
    <w:rsid w:val="00EA0AE5"/>
    <w:rsid w:val="00EA1990"/>
    <w:rsid w:val="00EA3E17"/>
    <w:rsid w:val="00EA4301"/>
    <w:rsid w:val="00EB39D8"/>
    <w:rsid w:val="00EB6573"/>
    <w:rsid w:val="00EB778B"/>
    <w:rsid w:val="00EC43C6"/>
    <w:rsid w:val="00EC550B"/>
    <w:rsid w:val="00EC5D2D"/>
    <w:rsid w:val="00ED0E2A"/>
    <w:rsid w:val="00ED3BAF"/>
    <w:rsid w:val="00EE0870"/>
    <w:rsid w:val="00EE1317"/>
    <w:rsid w:val="00EF31E0"/>
    <w:rsid w:val="00F04BDC"/>
    <w:rsid w:val="00F177E4"/>
    <w:rsid w:val="00F21DF1"/>
    <w:rsid w:val="00F24283"/>
    <w:rsid w:val="00F2527E"/>
    <w:rsid w:val="00F31AF8"/>
    <w:rsid w:val="00F460CC"/>
    <w:rsid w:val="00F479D7"/>
    <w:rsid w:val="00F566C3"/>
    <w:rsid w:val="00F62DA8"/>
    <w:rsid w:val="00F631AE"/>
    <w:rsid w:val="00F641F1"/>
    <w:rsid w:val="00F66243"/>
    <w:rsid w:val="00F72D14"/>
    <w:rsid w:val="00F74534"/>
    <w:rsid w:val="00F7669E"/>
    <w:rsid w:val="00F83065"/>
    <w:rsid w:val="00FA68B5"/>
    <w:rsid w:val="00FB198C"/>
    <w:rsid w:val="00FB4367"/>
    <w:rsid w:val="00FB5C2C"/>
    <w:rsid w:val="00FB5E09"/>
    <w:rsid w:val="00FC6F47"/>
    <w:rsid w:val="00FD371F"/>
    <w:rsid w:val="00FD6B9C"/>
    <w:rsid w:val="00FE1702"/>
    <w:rsid w:val="00FE2A8F"/>
    <w:rsid w:val="00FE3D7F"/>
    <w:rsid w:val="00FF28A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C994A"/>
  <w15:docId w15:val="{DB3A9CCF-043F-426F-8766-77ED28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96EDA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tthornto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tthornto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ek.kowalczyk@pl.g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Pismo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009007477906186E-2"/>
          <c:y val="9.3746403970246084E-2"/>
          <c:w val="0.88510760857611226"/>
          <c:h val="0.710661598334690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Arkusz1!$D$5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F2D7F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365019011406844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GT Walsheim Pro Bold" panose="02000503040000020003" pitchFamily="2" charset="-18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89-4067-A2F1-CB7586231148}"/>
                </c:ext>
              </c:extLst>
            </c:dLbl>
            <c:dLbl>
              <c:idx val="1"/>
              <c:layout>
                <c:manualLayout>
                  <c:x val="-5.0925348770607699E-17"/>
                  <c:y val="0.4816223067173636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GT Walsheim Pro Bold" panose="02000503040000020003" pitchFamily="2" charset="-18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89-4067-A2F1-CB75862311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T Walsheim Pro Bold" panose="02000503040000020003" pitchFamily="2" charset="-18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Arkusz1!$E$4:$G$4</c:f>
              <c:strCache>
                <c:ptCount val="3"/>
                <c:pt idx="0">
                  <c:v>zaostrzyła się</c:v>
                </c:pt>
                <c:pt idx="1">
                  <c:v>pozostała bez zmian</c:v>
                </c:pt>
                <c:pt idx="2">
                  <c:v>złagodniała</c:v>
                </c:pt>
              </c:strCache>
            </c:strRef>
          </c:cat>
          <c:val>
            <c:numRef>
              <c:f>Arkusz1!$E$5:$G$5</c:f>
              <c:numCache>
                <c:formatCode>0%</c:formatCode>
                <c:ptCount val="3"/>
                <c:pt idx="0">
                  <c:v>0.43</c:v>
                </c:pt>
                <c:pt idx="1">
                  <c:v>0.56999999999999995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89-4067-A2F1-CB7586231148}"/>
            </c:ext>
          </c:extLst>
        </c:ser>
        <c:ser>
          <c:idx val="1"/>
          <c:order val="1"/>
          <c:tx>
            <c:strRef>
              <c:f>Arkusz1!$D$6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A7B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60836501901140683"/>
                </c:manualLayout>
              </c:layout>
              <c:tx>
                <c:rich>
                  <a:bodyPr/>
                  <a:lstStyle/>
                  <a:p>
                    <a:fld id="{2525250D-E86B-4718-94EC-E3E397EF55FD}" type="VALUE">
                      <a:rPr lang="en-US" smtClean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289-4067-A2F1-CB7586231148}"/>
                </c:ext>
              </c:extLst>
            </c:dLbl>
            <c:dLbl>
              <c:idx val="1"/>
              <c:layout>
                <c:manualLayout>
                  <c:x val="0"/>
                  <c:y val="0.238276299112801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289-4067-A2F1-CB7586231148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GT Walsheim Pro Bold" panose="02000503040000020003" pitchFamily="2" charset="-18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289-4067-A2F1-CB75862311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GT Walsheim Pro Bold" panose="02000503040000020003" pitchFamily="2" charset="-18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Arkusz1!$E$4:$G$4</c:f>
              <c:strCache>
                <c:ptCount val="3"/>
                <c:pt idx="0">
                  <c:v>zaostrzyła się</c:v>
                </c:pt>
                <c:pt idx="1">
                  <c:v>pozostała bez zmian</c:v>
                </c:pt>
                <c:pt idx="2">
                  <c:v>złagodniała</c:v>
                </c:pt>
              </c:strCache>
            </c:strRef>
          </c:cat>
          <c:val>
            <c:numRef>
              <c:f>Arkusz1!$E$6:$G$6</c:f>
              <c:numCache>
                <c:formatCode>0%</c:formatCode>
                <c:ptCount val="3"/>
                <c:pt idx="0">
                  <c:v>0.72</c:v>
                </c:pt>
                <c:pt idx="1">
                  <c:v>0.27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289-4067-A2F1-CB7586231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9828671"/>
        <c:axId val="1879829919"/>
      </c:barChart>
      <c:catAx>
        <c:axId val="1879828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T Walsheim Pro Light" panose="02000503040000020003" pitchFamily="2" charset="-18"/>
                <a:ea typeface="+mn-ea"/>
                <a:cs typeface="+mn-cs"/>
              </a:defRPr>
            </a:pPr>
            <a:endParaRPr lang="pl-PL"/>
          </a:p>
        </c:txPr>
        <c:crossAx val="1879829919"/>
        <c:crosses val="autoZero"/>
        <c:auto val="1"/>
        <c:lblAlgn val="ctr"/>
        <c:lblOffset val="100"/>
        <c:noMultiLvlLbl val="0"/>
      </c:catAx>
      <c:valAx>
        <c:axId val="1879829919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T Walsheim Pro Light" panose="02000503040000020003" pitchFamily="2" charset="-18"/>
                <a:ea typeface="+mn-ea"/>
                <a:cs typeface="+mn-cs"/>
              </a:defRPr>
            </a:pPr>
            <a:endParaRPr lang="pl-PL"/>
          </a:p>
        </c:txPr>
        <c:crossAx val="18798286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028638086905808"/>
          <c:y val="0.11465529690884711"/>
          <c:w val="0.19078506853310004"/>
          <c:h val="0.11678575112608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T Walsheim Pro Light" panose="02000503040000020003" pitchFamily="2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E2D1-B093-427C-B511-32412EF5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Grant Thornton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Kowalczyk Jacek</dc:creator>
  <cp:keywords/>
  <dc:description/>
  <cp:lastModifiedBy>Kowalczyk Jacek</cp:lastModifiedBy>
  <cp:revision>2</cp:revision>
  <cp:lastPrinted>2018-11-06T16:06:00Z</cp:lastPrinted>
  <dcterms:created xsi:type="dcterms:W3CDTF">2018-11-16T15:32:00Z</dcterms:created>
  <dcterms:modified xsi:type="dcterms:W3CDTF">2018-11-16T15:32:00Z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