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73E" w:rsidRPr="001A673E" w:rsidRDefault="001A673E" w:rsidP="00CE09A5">
      <w:pPr>
        <w:pStyle w:val="Tekstpodstawowy"/>
        <w:rPr>
          <w:lang w:val="pl-PL"/>
        </w:rPr>
      </w:pPr>
    </w:p>
    <w:p w:rsidR="00EF3B59" w:rsidRDefault="00EF3B59" w:rsidP="00EF3B59">
      <w:pPr>
        <w:pStyle w:val="PRTitle"/>
        <w:spacing w:line="276" w:lineRule="auto"/>
        <w:rPr>
          <w:sz w:val="44"/>
          <w:lang w:val="pl-PL"/>
        </w:rPr>
      </w:pPr>
    </w:p>
    <w:p w:rsidR="007A5040" w:rsidRPr="00A93F45" w:rsidRDefault="00B32531" w:rsidP="00EF3B59">
      <w:pPr>
        <w:pStyle w:val="PRTitle"/>
        <w:spacing w:line="276" w:lineRule="auto"/>
        <w:rPr>
          <w:lang w:val="pl-PL"/>
        </w:rPr>
      </w:pPr>
      <w:r>
        <w:rPr>
          <w:lang w:val="pl-PL"/>
        </w:rPr>
        <w:t>Legislacyjna burza wyraźnie słabnie</w:t>
      </w:r>
    </w:p>
    <w:p w:rsidR="007A5040" w:rsidRPr="00A93F45" w:rsidRDefault="007A5040" w:rsidP="00CE09A5">
      <w:pPr>
        <w:pStyle w:val="Tekstpodstawowy"/>
        <w:rPr>
          <w:lang w:val="pl-PL"/>
        </w:rPr>
      </w:pPr>
    </w:p>
    <w:p w:rsidR="007A5040" w:rsidRPr="008E582E" w:rsidRDefault="007A5040" w:rsidP="00CE09A5">
      <w:pPr>
        <w:spacing w:before="100" w:beforeAutospacing="1" w:after="100" w:afterAutospacing="1" w:line="360" w:lineRule="auto"/>
        <w:rPr>
          <w:rFonts w:ascii="Arial" w:hAnsi="Arial"/>
          <w:b/>
          <w:color w:val="E92841"/>
          <w:lang w:val="pl-PL"/>
        </w:rPr>
      </w:pPr>
      <w:r w:rsidRPr="008E582E">
        <w:rPr>
          <w:rFonts w:ascii="Arial" w:hAnsi="Arial"/>
          <w:b/>
          <w:color w:val="E92841"/>
          <w:lang w:val="pl-PL"/>
        </w:rPr>
        <w:t>Informacja prasowa</w:t>
      </w:r>
    </w:p>
    <w:p w:rsidR="007A5040" w:rsidRDefault="00B2432B" w:rsidP="00CE09A5">
      <w:pPr>
        <w:spacing w:before="100" w:beforeAutospacing="1" w:after="100" w:afterAutospacing="1" w:line="360" w:lineRule="auto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27</w:t>
      </w:r>
      <w:r w:rsidR="007A5040">
        <w:rPr>
          <w:rFonts w:ascii="Arial" w:hAnsi="Arial"/>
          <w:lang w:val="pl-PL"/>
        </w:rPr>
        <w:t xml:space="preserve"> </w:t>
      </w:r>
      <w:r w:rsidR="00743216">
        <w:rPr>
          <w:rFonts w:ascii="Arial" w:hAnsi="Arial"/>
          <w:lang w:val="pl-PL"/>
        </w:rPr>
        <w:t>lutego</w:t>
      </w:r>
      <w:r w:rsidR="007A5040">
        <w:rPr>
          <w:rFonts w:ascii="Arial" w:hAnsi="Arial"/>
          <w:lang w:val="pl-PL"/>
        </w:rPr>
        <w:t xml:space="preserve"> </w:t>
      </w:r>
      <w:r w:rsidR="00934090">
        <w:rPr>
          <w:rFonts w:ascii="Arial" w:hAnsi="Arial"/>
          <w:lang w:val="pl-PL"/>
        </w:rPr>
        <w:t>2019</w:t>
      </w:r>
      <w:r w:rsidR="007A5040" w:rsidRPr="00912BF4">
        <w:rPr>
          <w:rFonts w:ascii="Arial" w:hAnsi="Arial"/>
          <w:lang w:val="pl-PL"/>
        </w:rPr>
        <w:t xml:space="preserve"> r.</w:t>
      </w:r>
    </w:p>
    <w:p w:rsidR="007A5040" w:rsidRPr="00A93F45" w:rsidRDefault="007A5040" w:rsidP="00CE09A5">
      <w:pPr>
        <w:spacing w:before="100" w:beforeAutospacing="1" w:after="100" w:afterAutospacing="1" w:line="360" w:lineRule="auto"/>
        <w:rPr>
          <w:rFonts w:ascii="Arial" w:hAnsi="Arial"/>
          <w:lang w:val="pl-PL"/>
        </w:rPr>
      </w:pPr>
    </w:p>
    <w:p w:rsidR="003551D7" w:rsidRPr="00122C4D" w:rsidRDefault="00B32531" w:rsidP="00CE09A5">
      <w:pPr>
        <w:pStyle w:val="Tekstpodstawowy"/>
        <w:spacing w:line="276" w:lineRule="auto"/>
        <w:rPr>
          <w:rFonts w:asciiTheme="majorHAnsi" w:hAnsiTheme="majorHAnsi" w:cstheme="majorHAnsi"/>
          <w:bCs/>
          <w:color w:val="4F2D7F"/>
          <w:kern w:val="32"/>
          <w:sz w:val="36"/>
          <w:szCs w:val="28"/>
          <w:lang w:val="pl-PL"/>
        </w:rPr>
      </w:pPr>
      <w:r>
        <w:rPr>
          <w:rFonts w:asciiTheme="majorHAnsi" w:hAnsiTheme="majorHAnsi" w:cstheme="majorHAnsi"/>
          <w:bCs/>
          <w:color w:val="4F2D7F"/>
          <w:kern w:val="32"/>
          <w:sz w:val="36"/>
          <w:szCs w:val="28"/>
          <w:lang w:val="pl-PL"/>
        </w:rPr>
        <w:t>W 2018 r. w życie weszło 14,6</w:t>
      </w:r>
      <w:r w:rsidR="00B2432B">
        <w:rPr>
          <w:rFonts w:asciiTheme="majorHAnsi" w:hAnsiTheme="majorHAnsi" w:cstheme="majorHAnsi"/>
          <w:bCs/>
          <w:color w:val="4F2D7F"/>
          <w:kern w:val="32"/>
          <w:sz w:val="36"/>
          <w:szCs w:val="28"/>
          <w:lang w:val="pl-PL"/>
        </w:rPr>
        <w:t xml:space="preserve"> t</w:t>
      </w:r>
      <w:r w:rsidR="001A673E">
        <w:rPr>
          <w:rFonts w:asciiTheme="majorHAnsi" w:hAnsiTheme="majorHAnsi" w:cstheme="majorHAnsi"/>
          <w:bCs/>
          <w:color w:val="4F2D7F"/>
          <w:kern w:val="32"/>
          <w:sz w:val="36"/>
          <w:szCs w:val="28"/>
          <w:lang w:val="pl-PL"/>
        </w:rPr>
        <w:t>ys. stron n</w:t>
      </w:r>
      <w:r>
        <w:rPr>
          <w:rFonts w:asciiTheme="majorHAnsi" w:hAnsiTheme="majorHAnsi" w:cstheme="majorHAnsi"/>
          <w:bCs/>
          <w:color w:val="4F2D7F"/>
          <w:kern w:val="32"/>
          <w:sz w:val="36"/>
          <w:szCs w:val="28"/>
          <w:lang w:val="pl-PL"/>
        </w:rPr>
        <w:t>owych aktów prawnych, czyli aż o 46</w:t>
      </w:r>
      <w:r w:rsidR="001A673E">
        <w:rPr>
          <w:rFonts w:asciiTheme="majorHAnsi" w:hAnsiTheme="majorHAnsi" w:cstheme="majorHAnsi"/>
          <w:bCs/>
          <w:color w:val="4F2D7F"/>
          <w:kern w:val="32"/>
          <w:sz w:val="36"/>
          <w:szCs w:val="28"/>
          <w:lang w:val="pl-PL"/>
        </w:rPr>
        <w:t xml:space="preserve"> proc. mniej niż rok wcześniej. </w:t>
      </w:r>
      <w:r w:rsidR="00393B9F">
        <w:rPr>
          <w:rFonts w:asciiTheme="majorHAnsi" w:hAnsiTheme="majorHAnsi" w:cstheme="majorHAnsi"/>
          <w:bCs/>
          <w:color w:val="4F2D7F"/>
          <w:kern w:val="32"/>
          <w:sz w:val="36"/>
          <w:szCs w:val="28"/>
          <w:lang w:val="pl-PL"/>
        </w:rPr>
        <w:t>W</w:t>
      </w:r>
      <w:r w:rsidR="00532DDE">
        <w:rPr>
          <w:rFonts w:asciiTheme="majorHAnsi" w:hAnsiTheme="majorHAnsi" w:cstheme="majorHAnsi"/>
          <w:bCs/>
          <w:color w:val="4F2D7F"/>
          <w:kern w:val="32"/>
          <w:sz w:val="36"/>
          <w:szCs w:val="28"/>
          <w:lang w:val="pl-PL"/>
        </w:rPr>
        <w:t> </w:t>
      </w:r>
      <w:r w:rsidR="00393B9F">
        <w:rPr>
          <w:rFonts w:asciiTheme="majorHAnsi" w:hAnsiTheme="majorHAnsi" w:cstheme="majorHAnsi"/>
          <w:bCs/>
          <w:color w:val="4F2D7F"/>
          <w:kern w:val="32"/>
          <w:sz w:val="36"/>
          <w:szCs w:val="28"/>
          <w:lang w:val="pl-PL"/>
        </w:rPr>
        <w:t>podatkach jednak przeciwnie, produkcja prawa wystrzeliła</w:t>
      </w:r>
      <w:r w:rsidR="001A673E">
        <w:rPr>
          <w:rFonts w:asciiTheme="majorHAnsi" w:hAnsiTheme="majorHAnsi" w:cstheme="majorHAnsi"/>
          <w:bCs/>
          <w:color w:val="4F2D7F"/>
          <w:kern w:val="32"/>
          <w:sz w:val="36"/>
          <w:szCs w:val="28"/>
          <w:lang w:val="pl-PL"/>
        </w:rPr>
        <w:t xml:space="preserve"> – wynika z raportu Grant Thornton</w:t>
      </w:r>
    </w:p>
    <w:p w:rsidR="007A5040" w:rsidRPr="00A93F45" w:rsidRDefault="007A5040" w:rsidP="00CE09A5">
      <w:pPr>
        <w:pStyle w:val="Tekstpodstawowy"/>
        <w:spacing w:line="360" w:lineRule="auto"/>
        <w:rPr>
          <w:sz w:val="20"/>
          <w:lang w:val="pl-PL"/>
        </w:rPr>
      </w:pPr>
    </w:p>
    <w:p w:rsidR="00AF3659" w:rsidRPr="0063081E" w:rsidRDefault="00CE09A5" w:rsidP="0063081E">
      <w:pPr>
        <w:pStyle w:val="Tekstpodstawowy"/>
        <w:spacing w:after="240" w:line="360" w:lineRule="auto"/>
        <w:rPr>
          <w:rFonts w:cstheme="minorHAnsi"/>
          <w:sz w:val="20"/>
          <w:lang w:val="pl-PL"/>
        </w:rPr>
      </w:pPr>
      <w:r w:rsidRPr="0063081E">
        <w:rPr>
          <w:rFonts w:cstheme="minorHAnsi"/>
          <w:sz w:val="20"/>
          <w:lang w:val="pl-PL"/>
        </w:rPr>
        <w:t>Stabilność praw</w:t>
      </w:r>
      <w:r w:rsidR="00723D28">
        <w:rPr>
          <w:rFonts w:cstheme="minorHAnsi"/>
          <w:sz w:val="20"/>
          <w:lang w:val="pl-PL"/>
        </w:rPr>
        <w:t>a</w:t>
      </w:r>
      <w:r w:rsidRPr="0063081E">
        <w:rPr>
          <w:rFonts w:cstheme="minorHAnsi"/>
          <w:sz w:val="20"/>
          <w:lang w:val="pl-PL"/>
        </w:rPr>
        <w:t xml:space="preserve"> to jeden z warunków długotrwałego rozwoju gospodarczego. Nadmierna zmienność regulacji nie tyl</w:t>
      </w:r>
      <w:r w:rsidR="009C006A">
        <w:rPr>
          <w:rFonts w:cstheme="minorHAnsi"/>
          <w:sz w:val="20"/>
          <w:lang w:val="pl-PL"/>
        </w:rPr>
        <w:t xml:space="preserve">ko utrudnia firmom działalność oraz </w:t>
      </w:r>
      <w:r w:rsidRPr="0063081E">
        <w:rPr>
          <w:rFonts w:cstheme="minorHAnsi"/>
          <w:sz w:val="20"/>
          <w:lang w:val="pl-PL"/>
        </w:rPr>
        <w:t>naraża je na kary</w:t>
      </w:r>
      <w:r w:rsidR="00393B9F">
        <w:rPr>
          <w:rFonts w:cstheme="minorHAnsi"/>
          <w:sz w:val="20"/>
          <w:lang w:val="pl-PL"/>
        </w:rPr>
        <w:t xml:space="preserve"> i grzywny, ale też zniechęca je</w:t>
      </w:r>
      <w:r w:rsidRPr="0063081E">
        <w:rPr>
          <w:rFonts w:cstheme="minorHAnsi"/>
          <w:sz w:val="20"/>
          <w:lang w:val="pl-PL"/>
        </w:rPr>
        <w:t xml:space="preserve"> do</w:t>
      </w:r>
      <w:r w:rsidR="00532DDE">
        <w:rPr>
          <w:rFonts w:cstheme="minorHAnsi"/>
          <w:sz w:val="20"/>
          <w:lang w:val="pl-PL"/>
        </w:rPr>
        <w:t> </w:t>
      </w:r>
      <w:r w:rsidR="009C006A">
        <w:rPr>
          <w:rFonts w:cstheme="minorHAnsi"/>
          <w:sz w:val="20"/>
          <w:lang w:val="pl-PL"/>
        </w:rPr>
        <w:t>inwestowania</w:t>
      </w:r>
      <w:r w:rsidRPr="0063081E">
        <w:rPr>
          <w:rFonts w:cstheme="minorHAnsi"/>
          <w:sz w:val="20"/>
          <w:lang w:val="pl-PL"/>
        </w:rPr>
        <w:t>. Żeby mierzyć skalę zmienności prawa, firma audytorsko-doradc</w:t>
      </w:r>
      <w:r w:rsidR="00AF3659" w:rsidRPr="0063081E">
        <w:rPr>
          <w:rFonts w:cstheme="minorHAnsi"/>
          <w:sz w:val="20"/>
          <w:lang w:val="pl-PL"/>
        </w:rPr>
        <w:t>z</w:t>
      </w:r>
      <w:r w:rsidR="00B32531">
        <w:rPr>
          <w:rFonts w:cstheme="minorHAnsi"/>
          <w:sz w:val="20"/>
          <w:lang w:val="pl-PL"/>
        </w:rPr>
        <w:t>a Grant Thornton uruchomiła cztery</w:t>
      </w:r>
      <w:r w:rsidRPr="0063081E">
        <w:rPr>
          <w:rFonts w:cstheme="minorHAnsi"/>
          <w:sz w:val="20"/>
          <w:lang w:val="pl-PL"/>
        </w:rPr>
        <w:t xml:space="preserve"> lata temu swój „</w:t>
      </w:r>
      <w:r w:rsidRPr="0063081E">
        <w:rPr>
          <w:rFonts w:cstheme="minorHAnsi"/>
          <w:b/>
          <w:color w:val="4F2D7F"/>
          <w:sz w:val="20"/>
          <w:lang w:val="pl-PL"/>
        </w:rPr>
        <w:t>Barometr otoczenia prawnego w polskiej gospodarce</w:t>
      </w:r>
      <w:r w:rsidRPr="0063081E">
        <w:rPr>
          <w:rFonts w:cstheme="minorHAnsi"/>
          <w:sz w:val="20"/>
          <w:lang w:val="pl-PL"/>
        </w:rPr>
        <w:t>”</w:t>
      </w:r>
      <w:r w:rsidR="00532DDE">
        <w:rPr>
          <w:rFonts w:cstheme="minorHAnsi"/>
          <w:sz w:val="20"/>
          <w:lang w:val="pl-PL"/>
        </w:rPr>
        <w:t>,</w:t>
      </w:r>
      <w:r w:rsidRPr="0063081E">
        <w:rPr>
          <w:rFonts w:cstheme="minorHAnsi"/>
          <w:sz w:val="20"/>
          <w:lang w:val="pl-PL"/>
        </w:rPr>
        <w:t xml:space="preserve"> czyli projekt badawczy, który na konkretnych liczbach pokazuje, jak dużo prawa produk</w:t>
      </w:r>
      <w:r w:rsidR="00393B9F">
        <w:rPr>
          <w:rFonts w:cstheme="minorHAnsi"/>
          <w:sz w:val="20"/>
          <w:lang w:val="pl-PL"/>
        </w:rPr>
        <w:t>uje się w Polsce</w:t>
      </w:r>
      <w:r w:rsidRPr="0063081E">
        <w:rPr>
          <w:rFonts w:cstheme="minorHAnsi"/>
          <w:sz w:val="20"/>
          <w:lang w:val="pl-PL"/>
        </w:rPr>
        <w:t>.</w:t>
      </w:r>
    </w:p>
    <w:p w:rsidR="00D77FE8" w:rsidRDefault="00AF3659" w:rsidP="0063081E">
      <w:pPr>
        <w:pStyle w:val="Tekstpodstawowy"/>
        <w:spacing w:after="240" w:line="360" w:lineRule="auto"/>
        <w:rPr>
          <w:rFonts w:cstheme="minorHAnsi"/>
          <w:sz w:val="20"/>
          <w:lang w:val="pl-PL"/>
        </w:rPr>
      </w:pPr>
      <w:r w:rsidRPr="0063081E">
        <w:rPr>
          <w:rFonts w:cstheme="minorHAnsi"/>
          <w:sz w:val="20"/>
          <w:lang w:val="pl-PL"/>
        </w:rPr>
        <w:t>W ramach tego projektu mamy przyjemność zaprezentować najnowszy raport, pokazujący wy</w:t>
      </w:r>
      <w:r w:rsidR="00B32531">
        <w:rPr>
          <w:rFonts w:cstheme="minorHAnsi"/>
          <w:sz w:val="20"/>
          <w:lang w:val="pl-PL"/>
        </w:rPr>
        <w:t>niki naszego monitoringu za 2018</w:t>
      </w:r>
      <w:r w:rsidRPr="0063081E">
        <w:rPr>
          <w:rFonts w:cstheme="minorHAnsi"/>
          <w:sz w:val="20"/>
          <w:lang w:val="pl-PL"/>
        </w:rPr>
        <w:t xml:space="preserve"> r. Co </w:t>
      </w:r>
      <w:r w:rsidR="00B32531">
        <w:rPr>
          <w:rFonts w:cstheme="minorHAnsi"/>
          <w:sz w:val="20"/>
          <w:lang w:val="pl-PL"/>
        </w:rPr>
        <w:t>z niego wynika? Główny wniosek z r</w:t>
      </w:r>
      <w:r w:rsidR="0041190D">
        <w:rPr>
          <w:rFonts w:cstheme="minorHAnsi"/>
          <w:sz w:val="20"/>
          <w:lang w:val="pl-PL"/>
        </w:rPr>
        <w:t>aportu napawa silnym optymizmem</w:t>
      </w:r>
      <w:r w:rsidR="00B32531">
        <w:rPr>
          <w:rFonts w:cstheme="minorHAnsi"/>
          <w:sz w:val="20"/>
          <w:lang w:val="pl-PL"/>
        </w:rPr>
        <w:t xml:space="preserve"> – </w:t>
      </w:r>
      <w:r w:rsidR="0041190D">
        <w:rPr>
          <w:rFonts w:cstheme="minorHAnsi"/>
          <w:sz w:val="20"/>
          <w:lang w:val="pl-PL"/>
        </w:rPr>
        <w:t xml:space="preserve">odnotowany przed rokiem </w:t>
      </w:r>
      <w:r w:rsidR="00B32531">
        <w:rPr>
          <w:rFonts w:cstheme="minorHAnsi"/>
          <w:sz w:val="20"/>
          <w:lang w:val="pl-PL"/>
        </w:rPr>
        <w:t>pozytywny trend</w:t>
      </w:r>
      <w:r w:rsidR="0041190D">
        <w:rPr>
          <w:rFonts w:cstheme="minorHAnsi"/>
          <w:sz w:val="20"/>
          <w:lang w:val="pl-PL"/>
        </w:rPr>
        <w:t xml:space="preserve"> spadku produkcji prawa w Polsce</w:t>
      </w:r>
      <w:r w:rsidR="00B32531">
        <w:rPr>
          <w:rFonts w:cstheme="minorHAnsi"/>
          <w:sz w:val="20"/>
          <w:lang w:val="pl-PL"/>
        </w:rPr>
        <w:t xml:space="preserve"> </w:t>
      </w:r>
      <w:r w:rsidR="0041190D">
        <w:rPr>
          <w:rFonts w:cstheme="minorHAnsi"/>
          <w:sz w:val="20"/>
          <w:lang w:val="pl-PL"/>
        </w:rPr>
        <w:t>nie tylko utrzymał się</w:t>
      </w:r>
      <w:r w:rsidR="00393B9F">
        <w:rPr>
          <w:rFonts w:cstheme="minorHAnsi"/>
          <w:sz w:val="20"/>
          <w:lang w:val="pl-PL"/>
        </w:rPr>
        <w:t xml:space="preserve"> w 2018 r.</w:t>
      </w:r>
      <w:r w:rsidR="00B32531">
        <w:rPr>
          <w:rFonts w:cstheme="minorHAnsi"/>
          <w:sz w:val="20"/>
          <w:lang w:val="pl-PL"/>
        </w:rPr>
        <w:t xml:space="preserve">, ale wręcz </w:t>
      </w:r>
      <w:r w:rsidR="0041190D">
        <w:rPr>
          <w:rFonts w:cstheme="minorHAnsi"/>
          <w:sz w:val="20"/>
          <w:lang w:val="pl-PL"/>
        </w:rPr>
        <w:t>wyraźnie przyspieszył</w:t>
      </w:r>
      <w:r w:rsidR="00393B9F">
        <w:rPr>
          <w:rFonts w:cstheme="minorHAnsi"/>
          <w:sz w:val="20"/>
          <w:lang w:val="pl-PL"/>
        </w:rPr>
        <w:t>. W</w:t>
      </w:r>
      <w:r w:rsidR="0041190D">
        <w:rPr>
          <w:rFonts w:cstheme="minorHAnsi"/>
          <w:sz w:val="20"/>
          <w:lang w:val="pl-PL"/>
        </w:rPr>
        <w:t xml:space="preserve"> w Dzienniku Ustaw</w:t>
      </w:r>
      <w:r w:rsidRPr="0063081E">
        <w:rPr>
          <w:rFonts w:cstheme="minorHAnsi"/>
          <w:sz w:val="20"/>
          <w:lang w:val="pl-PL"/>
        </w:rPr>
        <w:t xml:space="preserve"> opublikowano </w:t>
      </w:r>
      <w:r w:rsidR="0041190D" w:rsidRPr="00E932BE">
        <w:rPr>
          <w:rFonts w:cstheme="minorHAnsi"/>
          <w:b/>
          <w:color w:val="4F2D7F"/>
          <w:sz w:val="20"/>
          <w:lang w:val="pl-PL"/>
        </w:rPr>
        <w:t>14,6 tys</w:t>
      </w:r>
      <w:r w:rsidR="0041190D">
        <w:rPr>
          <w:rFonts w:cstheme="minorHAnsi"/>
          <w:b/>
          <w:color w:val="4F2D7F"/>
          <w:sz w:val="20"/>
          <w:lang w:val="pl-PL"/>
        </w:rPr>
        <w:t>.</w:t>
      </w:r>
      <w:r w:rsidRPr="0063081E">
        <w:rPr>
          <w:rFonts w:cstheme="minorHAnsi"/>
          <w:color w:val="4F2D7F"/>
          <w:sz w:val="20"/>
          <w:lang w:val="pl-PL"/>
        </w:rPr>
        <w:t xml:space="preserve"> </w:t>
      </w:r>
      <w:r w:rsidRPr="0063081E">
        <w:rPr>
          <w:rFonts w:cstheme="minorHAnsi"/>
          <w:sz w:val="20"/>
          <w:lang w:val="pl-PL"/>
        </w:rPr>
        <w:t xml:space="preserve">stron maszynopisu nowych aktów prawnych najwyższej rangi (ustaw i rozporządzeń), czyli o </w:t>
      </w:r>
      <w:r w:rsidR="0041190D">
        <w:rPr>
          <w:rFonts w:cstheme="minorHAnsi"/>
          <w:b/>
          <w:color w:val="4F2D7F"/>
          <w:sz w:val="20"/>
          <w:lang w:val="pl-PL"/>
        </w:rPr>
        <w:t>46</w:t>
      </w:r>
      <w:r w:rsidRPr="009C006A">
        <w:rPr>
          <w:rFonts w:cstheme="minorHAnsi"/>
          <w:b/>
          <w:color w:val="4F2D7F"/>
          <w:sz w:val="20"/>
          <w:lang w:val="pl-PL"/>
        </w:rPr>
        <w:t xml:space="preserve"> proc.</w:t>
      </w:r>
      <w:r w:rsidRPr="0063081E">
        <w:rPr>
          <w:rFonts w:cstheme="minorHAnsi"/>
          <w:sz w:val="20"/>
          <w:lang w:val="pl-PL"/>
        </w:rPr>
        <w:t xml:space="preserve"> mniej niż w </w:t>
      </w:r>
      <w:r w:rsidR="00F451C8">
        <w:rPr>
          <w:rFonts w:cstheme="minorHAnsi"/>
          <w:sz w:val="20"/>
          <w:lang w:val="pl-PL"/>
        </w:rPr>
        <w:t>2017 r.</w:t>
      </w:r>
      <w:r w:rsidR="00532DDE">
        <w:rPr>
          <w:rFonts w:cstheme="minorHAnsi"/>
          <w:sz w:val="20"/>
          <w:lang w:val="pl-PL"/>
        </w:rPr>
        <w:t> </w:t>
      </w:r>
      <w:r w:rsidR="00F451C8">
        <w:rPr>
          <w:rFonts w:cstheme="minorHAnsi"/>
          <w:sz w:val="20"/>
          <w:lang w:val="pl-PL"/>
        </w:rPr>
        <w:t>i o 54 proc. mniej niż w rekordowym</w:t>
      </w:r>
      <w:r w:rsidRPr="0063081E">
        <w:rPr>
          <w:rFonts w:cstheme="minorHAnsi"/>
          <w:sz w:val="20"/>
          <w:lang w:val="pl-PL"/>
        </w:rPr>
        <w:t xml:space="preserve"> 2016 r. </w:t>
      </w:r>
    </w:p>
    <w:p w:rsidR="00D77FE8" w:rsidRPr="0063081E" w:rsidRDefault="00D77FE8" w:rsidP="0063081E">
      <w:pPr>
        <w:pStyle w:val="Tekstpodstawowy"/>
        <w:spacing w:after="240" w:line="360" w:lineRule="auto"/>
        <w:rPr>
          <w:rFonts w:cstheme="minorHAnsi"/>
          <w:sz w:val="20"/>
          <w:lang w:val="pl-PL"/>
        </w:rPr>
      </w:pPr>
    </w:p>
    <w:p w:rsidR="005C539F" w:rsidRPr="00D77FE8" w:rsidRDefault="005C539F" w:rsidP="00D77FE8">
      <w:pPr>
        <w:pStyle w:val="Tekstpodstawowy"/>
        <w:spacing w:after="240" w:line="360" w:lineRule="auto"/>
        <w:rPr>
          <w:rFonts w:cstheme="minorHAnsi"/>
          <w:b/>
          <w:sz w:val="16"/>
          <w:lang w:val="pl-PL"/>
        </w:rPr>
      </w:pPr>
      <w:r w:rsidRPr="00D77FE8">
        <w:rPr>
          <w:rFonts w:cstheme="minorHAnsi"/>
          <w:b/>
          <w:sz w:val="16"/>
          <w:lang w:val="pl-PL"/>
        </w:rPr>
        <w:t xml:space="preserve">Wykres 1. Liczba stron aktów prawnych najwyższej rangi (ustaw </w:t>
      </w:r>
      <w:r w:rsidR="00D77FE8">
        <w:rPr>
          <w:rFonts w:cstheme="minorHAnsi"/>
          <w:b/>
          <w:sz w:val="16"/>
          <w:lang w:val="pl-PL"/>
        </w:rPr>
        <w:t xml:space="preserve">i rozporządzeń) publikowanych w </w:t>
      </w:r>
      <w:r w:rsidRPr="00D77FE8">
        <w:rPr>
          <w:rFonts w:cstheme="minorHAnsi"/>
          <w:b/>
          <w:sz w:val="16"/>
          <w:lang w:val="pl-PL"/>
        </w:rPr>
        <w:t>poszczególnych latach</w:t>
      </w:r>
    </w:p>
    <w:p w:rsidR="00D77FE8" w:rsidRDefault="00F451C8" w:rsidP="00D77FE8">
      <w:pPr>
        <w:pStyle w:val="Tekstpodstawowy"/>
        <w:spacing w:after="240" w:line="360" w:lineRule="auto"/>
        <w:jc w:val="center"/>
        <w:rPr>
          <w:rFonts w:cstheme="minorHAnsi"/>
          <w:sz w:val="20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2B002637" wp14:editId="5C962BB7">
            <wp:extent cx="5295900" cy="2545689"/>
            <wp:effectExtent l="0" t="0" r="0" b="762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77FE8" w:rsidRPr="00D77FE8" w:rsidRDefault="00D77FE8" w:rsidP="00D77FE8">
      <w:pPr>
        <w:pStyle w:val="Tekstpodstawowy"/>
        <w:spacing w:after="240" w:line="360" w:lineRule="auto"/>
        <w:jc w:val="right"/>
        <w:rPr>
          <w:rFonts w:cstheme="minorHAnsi"/>
          <w:sz w:val="16"/>
          <w:lang w:val="pl-PL"/>
        </w:rPr>
      </w:pPr>
      <w:r w:rsidRPr="00D77FE8">
        <w:rPr>
          <w:rFonts w:cstheme="minorHAnsi"/>
          <w:sz w:val="16"/>
          <w:lang w:val="pl-PL"/>
        </w:rPr>
        <w:t>Źródło: Obliczenia własne na podstawie Dziennika Ustaw</w:t>
      </w:r>
    </w:p>
    <w:p w:rsidR="00D77FE8" w:rsidRDefault="00D77FE8" w:rsidP="00D77FE8">
      <w:pPr>
        <w:pStyle w:val="Tekstpodstawowy"/>
        <w:spacing w:after="240" w:line="360" w:lineRule="auto"/>
        <w:rPr>
          <w:rFonts w:cstheme="minorHAnsi"/>
          <w:sz w:val="20"/>
          <w:lang w:val="pl-PL"/>
        </w:rPr>
      </w:pPr>
    </w:p>
    <w:p w:rsidR="005C539F" w:rsidRDefault="00D77FE8" w:rsidP="00D77FE8">
      <w:pPr>
        <w:pStyle w:val="Tekstpodstawowy"/>
        <w:spacing w:after="240" w:line="360" w:lineRule="auto"/>
        <w:rPr>
          <w:rFonts w:cstheme="minorHAnsi"/>
          <w:sz w:val="20"/>
          <w:lang w:val="pl-PL"/>
        </w:rPr>
      </w:pPr>
      <w:r>
        <w:rPr>
          <w:rFonts w:cstheme="minorHAnsi"/>
          <w:sz w:val="20"/>
          <w:lang w:val="pl-PL"/>
        </w:rPr>
        <w:t>Przyczyną wyraźnego wyhamowania produkcji prawa jest głównie silny</w:t>
      </w:r>
      <w:r w:rsidR="00D528B9">
        <w:rPr>
          <w:rFonts w:cstheme="minorHAnsi"/>
          <w:sz w:val="20"/>
          <w:lang w:val="pl-PL"/>
        </w:rPr>
        <w:t xml:space="preserve"> spadek prawodawstwa wdrażanego na poziomie</w:t>
      </w:r>
      <w:r>
        <w:rPr>
          <w:rFonts w:cstheme="minorHAnsi"/>
          <w:sz w:val="20"/>
          <w:lang w:val="pl-PL"/>
        </w:rPr>
        <w:t xml:space="preserve"> rozporządzeń, czyli aktów wykonawczych </w:t>
      </w:r>
      <w:r w:rsidR="00D528B9">
        <w:rPr>
          <w:rFonts w:cstheme="minorHAnsi"/>
          <w:sz w:val="20"/>
          <w:lang w:val="pl-PL"/>
        </w:rPr>
        <w:t xml:space="preserve">rządu – </w:t>
      </w:r>
      <w:r w:rsidR="00393B9F">
        <w:rPr>
          <w:rFonts w:cstheme="minorHAnsi"/>
          <w:sz w:val="20"/>
          <w:lang w:val="pl-PL"/>
        </w:rPr>
        <w:t xml:space="preserve">ich </w:t>
      </w:r>
      <w:r w:rsidR="00D528B9">
        <w:rPr>
          <w:rFonts w:cstheme="minorHAnsi"/>
          <w:sz w:val="20"/>
          <w:lang w:val="pl-PL"/>
        </w:rPr>
        <w:t>liczba stron spadła w 2018 r. do</w:t>
      </w:r>
      <w:r w:rsidR="00D528B9" w:rsidRPr="00E932BE">
        <w:rPr>
          <w:rFonts w:cstheme="minorHAnsi"/>
          <w:b/>
          <w:color w:val="4F2D7F"/>
          <w:sz w:val="20"/>
          <w:lang w:val="pl-PL"/>
        </w:rPr>
        <w:t xml:space="preserve"> 11,3 tys.</w:t>
      </w:r>
      <w:r w:rsidR="00D528B9">
        <w:rPr>
          <w:rFonts w:cstheme="minorHAnsi"/>
          <w:sz w:val="20"/>
          <w:lang w:val="pl-PL"/>
        </w:rPr>
        <w:t>, co jest najniższym wynikiem przynajmniej od 2012 r. Jeszcze w 2017 r. uchwalone rozporządzenia składały się z 24,5 tys. stron, czyli ministerstwa w rok ograniczy</w:t>
      </w:r>
      <w:r w:rsidR="00532DDE">
        <w:rPr>
          <w:rFonts w:cstheme="minorHAnsi"/>
          <w:sz w:val="20"/>
          <w:lang w:val="pl-PL"/>
        </w:rPr>
        <w:t>ły</w:t>
      </w:r>
      <w:r w:rsidR="00D528B9">
        <w:rPr>
          <w:rFonts w:cstheme="minorHAnsi"/>
          <w:sz w:val="20"/>
          <w:lang w:val="pl-PL"/>
        </w:rPr>
        <w:t xml:space="preserve"> swoją produkcję przepisów o 56 proc. </w:t>
      </w:r>
    </w:p>
    <w:p w:rsidR="00D0541F" w:rsidRPr="0063081E" w:rsidRDefault="00D0541F" w:rsidP="00D77FE8">
      <w:pPr>
        <w:pStyle w:val="Tekstpodstawowy"/>
        <w:spacing w:after="240" w:line="360" w:lineRule="auto"/>
        <w:rPr>
          <w:rFonts w:cstheme="minorHAnsi"/>
          <w:sz w:val="16"/>
          <w:lang w:val="pl-PL"/>
        </w:rPr>
      </w:pPr>
    </w:p>
    <w:p w:rsidR="00D0541F" w:rsidRPr="00D0541F" w:rsidRDefault="00D0541F" w:rsidP="00D0541F">
      <w:pPr>
        <w:pStyle w:val="Tekstpodstawowy"/>
        <w:spacing w:after="240" w:line="360" w:lineRule="auto"/>
        <w:rPr>
          <w:rFonts w:cstheme="minorHAnsi"/>
          <w:i/>
          <w:noProof/>
          <w:sz w:val="20"/>
          <w:lang w:val="pl-PL" w:eastAsia="pl-PL"/>
        </w:rPr>
      </w:pPr>
      <w:r w:rsidRPr="009C006A">
        <w:rPr>
          <w:rFonts w:cstheme="minorHAnsi"/>
          <w:i/>
          <w:noProof/>
          <w:sz w:val="20"/>
          <w:lang w:val="pl-PL" w:eastAsia="pl-PL"/>
        </w:rPr>
        <w:drawing>
          <wp:anchor distT="0" distB="0" distL="114300" distR="114300" simplePos="0" relativeHeight="251660288" behindDoc="0" locked="0" layoutInCell="1" allowOverlap="1" wp14:anchorId="2613990B" wp14:editId="58E312BC">
            <wp:simplePos x="0" y="0"/>
            <wp:positionH relativeFrom="column">
              <wp:posOffset>-2540</wp:posOffset>
            </wp:positionH>
            <wp:positionV relativeFrom="paragraph">
              <wp:posOffset>-127000</wp:posOffset>
            </wp:positionV>
            <wp:extent cx="660400" cy="615950"/>
            <wp:effectExtent l="0" t="0" r="6350" b="0"/>
            <wp:wrapSquare wrapText="bothSides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41F">
        <w:t xml:space="preserve"> </w:t>
      </w:r>
      <w:r w:rsidRPr="00D0541F">
        <w:rPr>
          <w:rFonts w:cstheme="minorHAnsi"/>
          <w:i/>
          <w:noProof/>
          <w:sz w:val="20"/>
          <w:lang w:val="pl-PL" w:eastAsia="pl-PL"/>
        </w:rPr>
        <w:t>Stało się – wieloletni trend stałego przyrostu</w:t>
      </w:r>
      <w:r>
        <w:rPr>
          <w:rFonts w:cstheme="minorHAnsi"/>
          <w:i/>
          <w:noProof/>
          <w:sz w:val="20"/>
          <w:lang w:val="pl-PL" w:eastAsia="pl-PL"/>
        </w:rPr>
        <w:t xml:space="preserve"> </w:t>
      </w:r>
      <w:r w:rsidRPr="00D0541F">
        <w:rPr>
          <w:rFonts w:cstheme="minorHAnsi"/>
          <w:i/>
          <w:noProof/>
          <w:sz w:val="20"/>
          <w:lang w:val="pl-PL" w:eastAsia="pl-PL"/>
        </w:rPr>
        <w:t>nowych przepi</w:t>
      </w:r>
      <w:r>
        <w:rPr>
          <w:rFonts w:cstheme="minorHAnsi"/>
          <w:i/>
          <w:noProof/>
          <w:sz w:val="20"/>
          <w:lang w:val="pl-PL" w:eastAsia="pl-PL"/>
        </w:rPr>
        <w:t xml:space="preserve">sów w Polsce został przełamany. </w:t>
      </w:r>
      <w:r w:rsidRPr="00D0541F">
        <w:rPr>
          <w:rFonts w:cstheme="minorHAnsi"/>
          <w:i/>
          <w:noProof/>
          <w:sz w:val="20"/>
          <w:lang w:val="pl-PL" w:eastAsia="pl-PL"/>
        </w:rPr>
        <w:t>Rok 2018 p</w:t>
      </w:r>
      <w:r>
        <w:rPr>
          <w:rFonts w:cstheme="minorHAnsi"/>
          <w:i/>
          <w:noProof/>
          <w:sz w:val="20"/>
          <w:lang w:val="pl-PL" w:eastAsia="pl-PL"/>
        </w:rPr>
        <w:t xml:space="preserve">rzyniósł spadek produkcji prawa </w:t>
      </w:r>
      <w:r w:rsidRPr="00D0541F">
        <w:rPr>
          <w:rFonts w:cstheme="minorHAnsi"/>
          <w:i/>
          <w:noProof/>
          <w:sz w:val="20"/>
          <w:lang w:val="pl-PL" w:eastAsia="pl-PL"/>
        </w:rPr>
        <w:t xml:space="preserve">prawie o połowę </w:t>
      </w:r>
      <w:r>
        <w:rPr>
          <w:rFonts w:cstheme="minorHAnsi"/>
          <w:i/>
          <w:noProof/>
          <w:sz w:val="20"/>
          <w:lang w:val="pl-PL" w:eastAsia="pl-PL"/>
        </w:rPr>
        <w:t xml:space="preserve">i jest to już drugi rok z rzędu </w:t>
      </w:r>
      <w:r w:rsidRPr="00D0541F">
        <w:rPr>
          <w:rFonts w:cstheme="minorHAnsi"/>
          <w:i/>
          <w:noProof/>
          <w:sz w:val="20"/>
          <w:lang w:val="pl-PL" w:eastAsia="pl-PL"/>
        </w:rPr>
        <w:t>z</w:t>
      </w:r>
      <w:r w:rsidR="00532DDE">
        <w:rPr>
          <w:rFonts w:cstheme="minorHAnsi"/>
          <w:i/>
          <w:noProof/>
          <w:sz w:val="20"/>
          <w:lang w:val="pl-PL" w:eastAsia="pl-PL"/>
        </w:rPr>
        <w:t> </w:t>
      </w:r>
      <w:r w:rsidRPr="00D0541F">
        <w:rPr>
          <w:rFonts w:cstheme="minorHAnsi"/>
          <w:i/>
          <w:noProof/>
          <w:sz w:val="20"/>
          <w:lang w:val="pl-PL" w:eastAsia="pl-PL"/>
        </w:rPr>
        <w:t>ujemną d</w:t>
      </w:r>
      <w:r>
        <w:rPr>
          <w:rFonts w:cstheme="minorHAnsi"/>
          <w:i/>
          <w:noProof/>
          <w:sz w:val="20"/>
          <w:lang w:val="pl-PL" w:eastAsia="pl-PL"/>
        </w:rPr>
        <w:t xml:space="preserve">ynamiką. O to w naszym raporcie </w:t>
      </w:r>
      <w:r w:rsidRPr="00D0541F">
        <w:rPr>
          <w:rFonts w:cstheme="minorHAnsi"/>
          <w:i/>
          <w:noProof/>
          <w:sz w:val="20"/>
          <w:lang w:val="pl-PL" w:eastAsia="pl-PL"/>
        </w:rPr>
        <w:t xml:space="preserve">zabiegaliśmy i na </w:t>
      </w:r>
      <w:r>
        <w:rPr>
          <w:rFonts w:cstheme="minorHAnsi"/>
          <w:i/>
          <w:noProof/>
          <w:sz w:val="20"/>
          <w:lang w:val="pl-PL" w:eastAsia="pl-PL"/>
        </w:rPr>
        <w:t xml:space="preserve">to liczyliśmy. </w:t>
      </w:r>
      <w:r w:rsidR="00393B9F" w:rsidRPr="00D0541F">
        <w:rPr>
          <w:rFonts w:cstheme="minorHAnsi"/>
          <w:i/>
          <w:noProof/>
          <w:sz w:val="20"/>
          <w:lang w:val="pl-PL" w:eastAsia="pl-PL"/>
        </w:rPr>
        <w:t>Patrząc na stały i</w:t>
      </w:r>
      <w:r w:rsidR="00532DDE">
        <w:rPr>
          <w:rFonts w:cstheme="minorHAnsi"/>
          <w:i/>
          <w:noProof/>
          <w:sz w:val="20"/>
          <w:lang w:val="pl-PL" w:eastAsia="pl-PL"/>
        </w:rPr>
        <w:t> </w:t>
      </w:r>
      <w:r w:rsidR="00393B9F" w:rsidRPr="00D0541F">
        <w:rPr>
          <w:rFonts w:cstheme="minorHAnsi"/>
          <w:i/>
          <w:noProof/>
          <w:sz w:val="20"/>
          <w:lang w:val="pl-PL" w:eastAsia="pl-PL"/>
        </w:rPr>
        <w:t xml:space="preserve">niemal nieprzerwany wzrost produkcji prawa </w:t>
      </w:r>
      <w:r w:rsidR="00393B9F">
        <w:rPr>
          <w:rFonts w:cstheme="minorHAnsi"/>
          <w:i/>
          <w:noProof/>
          <w:sz w:val="20"/>
          <w:lang w:val="pl-PL" w:eastAsia="pl-PL"/>
        </w:rPr>
        <w:t xml:space="preserve">w ostatnich dekadach można było </w:t>
      </w:r>
      <w:r w:rsidR="00393B9F" w:rsidRPr="00D0541F">
        <w:rPr>
          <w:rFonts w:cstheme="minorHAnsi"/>
          <w:i/>
          <w:noProof/>
          <w:sz w:val="20"/>
          <w:lang w:val="pl-PL" w:eastAsia="pl-PL"/>
        </w:rPr>
        <w:t>stracić nadzieję, że t</w:t>
      </w:r>
      <w:r w:rsidR="00393B9F">
        <w:rPr>
          <w:rFonts w:cstheme="minorHAnsi"/>
          <w:i/>
          <w:noProof/>
          <w:sz w:val="20"/>
          <w:lang w:val="pl-PL" w:eastAsia="pl-PL"/>
        </w:rPr>
        <w:t xml:space="preserve">en przełom jest w ogóle możliwy. </w:t>
      </w:r>
      <w:r>
        <w:rPr>
          <w:rFonts w:cstheme="minorHAnsi"/>
          <w:i/>
          <w:noProof/>
          <w:sz w:val="20"/>
          <w:lang w:val="pl-PL" w:eastAsia="pl-PL"/>
        </w:rPr>
        <w:t>Cieszymy się, że to się</w:t>
      </w:r>
      <w:r w:rsidR="00393B9F">
        <w:rPr>
          <w:rFonts w:cstheme="minorHAnsi"/>
          <w:i/>
          <w:noProof/>
          <w:sz w:val="20"/>
          <w:lang w:val="pl-PL" w:eastAsia="pl-PL"/>
        </w:rPr>
        <w:t xml:space="preserve"> jednak</w:t>
      </w:r>
      <w:r>
        <w:rPr>
          <w:rFonts w:cstheme="minorHAnsi"/>
          <w:i/>
          <w:noProof/>
          <w:sz w:val="20"/>
          <w:lang w:val="pl-PL" w:eastAsia="pl-PL"/>
        </w:rPr>
        <w:t xml:space="preserve"> sprawdziło</w:t>
      </w:r>
      <w:r w:rsidR="00393B9F">
        <w:rPr>
          <w:rFonts w:cstheme="minorHAnsi"/>
          <w:i/>
          <w:noProof/>
          <w:sz w:val="20"/>
          <w:lang w:val="pl-PL" w:eastAsia="pl-PL"/>
        </w:rPr>
        <w:t xml:space="preserve"> </w:t>
      </w:r>
      <w:r w:rsidRPr="0063081E">
        <w:rPr>
          <w:rFonts w:cstheme="minorHAnsi"/>
          <w:sz w:val="20"/>
          <w:lang w:val="pl-PL"/>
        </w:rPr>
        <w:t xml:space="preserve">– mówi </w:t>
      </w:r>
      <w:r w:rsidRPr="0063081E">
        <w:rPr>
          <w:rFonts w:cstheme="minorHAnsi"/>
          <w:b/>
          <w:sz w:val="20"/>
          <w:lang w:val="pl-PL"/>
        </w:rPr>
        <w:t>Tomasz Wróblewski</w:t>
      </w:r>
      <w:r w:rsidRPr="0063081E">
        <w:rPr>
          <w:rFonts w:cstheme="minorHAnsi"/>
          <w:sz w:val="20"/>
          <w:lang w:val="pl-PL"/>
        </w:rPr>
        <w:t>, Partner Zarządzający Grant Thornton w Polsce.</w:t>
      </w:r>
    </w:p>
    <w:p w:rsidR="005C539F" w:rsidRPr="0063081E" w:rsidRDefault="005C539F" w:rsidP="0063081E">
      <w:pPr>
        <w:pStyle w:val="Tekstpodstawowy"/>
        <w:spacing w:after="240" w:line="360" w:lineRule="auto"/>
        <w:rPr>
          <w:rFonts w:cstheme="minorHAnsi"/>
          <w:sz w:val="20"/>
          <w:lang w:val="pl-PL"/>
        </w:rPr>
      </w:pPr>
    </w:p>
    <w:p w:rsidR="00D0541F" w:rsidRDefault="00D0541F" w:rsidP="0063081E">
      <w:pPr>
        <w:pStyle w:val="Tekstpodstawowy"/>
        <w:spacing w:after="240" w:line="360" w:lineRule="auto"/>
        <w:rPr>
          <w:rFonts w:cstheme="minorHAnsi"/>
          <w:sz w:val="20"/>
          <w:lang w:val="pl-PL"/>
        </w:rPr>
      </w:pPr>
      <w:r w:rsidRPr="00D0541F">
        <w:rPr>
          <w:rFonts w:cstheme="minorHAnsi"/>
          <w:sz w:val="20"/>
          <w:lang w:val="pl-PL"/>
        </w:rPr>
        <w:t>Czy system prawnym w Polsce jest już wystarczająco stabilny? Zdecydowanie nie. Przyjęte 14,6 tys. stron nowych przepisów to nadal jeden z najwyższych wyników od 1918 r. Nawet pomimo wyraźnego spadku w</w:t>
      </w:r>
      <w:r w:rsidR="00F20D77">
        <w:rPr>
          <w:rFonts w:cstheme="minorHAnsi"/>
          <w:sz w:val="20"/>
          <w:lang w:val="pl-PL"/>
        </w:rPr>
        <w:t> </w:t>
      </w:r>
      <w:r w:rsidRPr="00D0541F">
        <w:rPr>
          <w:rFonts w:cstheme="minorHAnsi"/>
          <w:sz w:val="20"/>
          <w:lang w:val="pl-PL"/>
        </w:rPr>
        <w:t>ostatnim roku, produkcja prawa w Polsce</w:t>
      </w:r>
      <w:r w:rsidR="007F406D">
        <w:rPr>
          <w:rFonts w:cstheme="minorHAnsi"/>
          <w:sz w:val="20"/>
          <w:lang w:val="pl-PL"/>
        </w:rPr>
        <w:t xml:space="preserve"> jest wciąż kilkakrotnie wyższa</w:t>
      </w:r>
      <w:r w:rsidRPr="00D0541F">
        <w:rPr>
          <w:rFonts w:cstheme="minorHAnsi"/>
          <w:sz w:val="20"/>
          <w:lang w:val="pl-PL"/>
        </w:rPr>
        <w:t xml:space="preserve"> niż w latach 90., </w:t>
      </w:r>
      <w:r w:rsidR="007F406D">
        <w:rPr>
          <w:rFonts w:cstheme="minorHAnsi"/>
          <w:sz w:val="20"/>
          <w:lang w:val="pl-PL"/>
        </w:rPr>
        <w:t>mimo że</w:t>
      </w:r>
      <w:r w:rsidRPr="00D0541F">
        <w:rPr>
          <w:rFonts w:cstheme="minorHAnsi"/>
          <w:sz w:val="20"/>
          <w:lang w:val="pl-PL"/>
        </w:rPr>
        <w:t xml:space="preserve"> Polska przechodziła</w:t>
      </w:r>
      <w:r w:rsidR="007F406D">
        <w:rPr>
          <w:rFonts w:cstheme="minorHAnsi"/>
          <w:sz w:val="20"/>
          <w:lang w:val="pl-PL"/>
        </w:rPr>
        <w:t xml:space="preserve"> wówczas</w:t>
      </w:r>
      <w:r w:rsidRPr="00D0541F">
        <w:rPr>
          <w:rFonts w:cstheme="minorHAnsi"/>
          <w:sz w:val="20"/>
          <w:lang w:val="pl-PL"/>
        </w:rPr>
        <w:t xml:space="preserve"> transformację ustrojową, co wiązało się z licznymi gruntownymi zmianami w systemie prawnym. </w:t>
      </w:r>
    </w:p>
    <w:p w:rsidR="00324537" w:rsidRPr="0063081E" w:rsidRDefault="00D0541F" w:rsidP="0063081E">
      <w:pPr>
        <w:pStyle w:val="Tekstpodstawowy"/>
        <w:spacing w:after="240" w:line="360" w:lineRule="auto"/>
        <w:rPr>
          <w:rFonts w:cstheme="minorHAnsi"/>
          <w:sz w:val="20"/>
          <w:lang w:val="pl-PL"/>
        </w:rPr>
      </w:pPr>
      <w:r w:rsidRPr="00D0541F">
        <w:rPr>
          <w:rFonts w:cstheme="minorHAnsi"/>
          <w:sz w:val="20"/>
          <w:lang w:val="pl-PL"/>
        </w:rPr>
        <w:lastRenderedPageBreak/>
        <w:t>Przedsiębiorca czy obywatel, który chciałby czytać wszystkie nowo przyjmowane akty prawne, musiałby w</w:t>
      </w:r>
      <w:r w:rsidR="00F20D77">
        <w:rPr>
          <w:rFonts w:cstheme="minorHAnsi"/>
          <w:sz w:val="20"/>
          <w:lang w:val="pl-PL"/>
        </w:rPr>
        <w:t> </w:t>
      </w:r>
      <w:r w:rsidRPr="00D0541F">
        <w:rPr>
          <w:rFonts w:cstheme="minorHAnsi"/>
          <w:sz w:val="20"/>
          <w:lang w:val="pl-PL"/>
        </w:rPr>
        <w:t xml:space="preserve">2018 r. poświęcić na to </w:t>
      </w:r>
      <w:r w:rsidRPr="00E932BE">
        <w:rPr>
          <w:rFonts w:cstheme="minorHAnsi"/>
          <w:b/>
          <w:color w:val="4F2D7F"/>
          <w:sz w:val="20"/>
          <w:lang w:val="pl-PL"/>
        </w:rPr>
        <w:t>1 godzinę i 57 minut</w:t>
      </w:r>
      <w:r w:rsidRPr="00D0541F">
        <w:rPr>
          <w:rFonts w:cstheme="minorHAnsi"/>
          <w:sz w:val="20"/>
          <w:lang w:val="pl-PL"/>
        </w:rPr>
        <w:t xml:space="preserve"> każdego dnia roboczego.</w:t>
      </w:r>
      <w:r>
        <w:rPr>
          <w:rFonts w:cstheme="minorHAnsi"/>
          <w:sz w:val="20"/>
          <w:lang w:val="pl-PL"/>
        </w:rPr>
        <w:t xml:space="preserve"> T</w:t>
      </w:r>
      <w:r w:rsidR="005C539F" w:rsidRPr="0063081E">
        <w:rPr>
          <w:rFonts w:cstheme="minorHAnsi"/>
          <w:sz w:val="20"/>
          <w:lang w:val="pl-PL"/>
        </w:rPr>
        <w:t>o nadal zdecydowanie zbyt dużo,</w:t>
      </w:r>
      <w:r>
        <w:rPr>
          <w:rFonts w:cstheme="minorHAnsi"/>
          <w:sz w:val="20"/>
          <w:lang w:val="pl-PL"/>
        </w:rPr>
        <w:t xml:space="preserve"> by</w:t>
      </w:r>
      <w:r w:rsidR="005C539F" w:rsidRPr="0063081E">
        <w:rPr>
          <w:rFonts w:cstheme="minorHAnsi"/>
          <w:sz w:val="20"/>
          <w:lang w:val="pl-PL"/>
        </w:rPr>
        <w:t xml:space="preserve"> zapoznać s</w:t>
      </w:r>
      <w:r>
        <w:rPr>
          <w:rFonts w:cstheme="minorHAnsi"/>
          <w:sz w:val="20"/>
          <w:lang w:val="pl-PL"/>
        </w:rPr>
        <w:t>ię z całością nowych przepisów</w:t>
      </w:r>
      <w:r w:rsidR="00E932BE">
        <w:rPr>
          <w:rFonts w:cstheme="minorHAnsi"/>
          <w:sz w:val="20"/>
          <w:lang w:val="pl-PL"/>
        </w:rPr>
        <w:t>, zwłaszcza, że samo czytanie aktów prawnych to za mało – aby pojąć sens wprowadzanych zmian, trzeba nowe przepisy osadzić w kontekście tekstów źródłowych</w:t>
      </w:r>
      <w:r>
        <w:rPr>
          <w:rFonts w:cstheme="minorHAnsi"/>
          <w:sz w:val="20"/>
          <w:lang w:val="pl-PL"/>
        </w:rPr>
        <w:t>.</w:t>
      </w:r>
    </w:p>
    <w:p w:rsidR="009C006A" w:rsidRDefault="00E932BE" w:rsidP="00E932BE">
      <w:pPr>
        <w:pStyle w:val="Tekstpodstawowy"/>
        <w:spacing w:after="240" w:line="360" w:lineRule="auto"/>
        <w:rPr>
          <w:rFonts w:cstheme="minorHAnsi"/>
          <w:sz w:val="20"/>
          <w:lang w:val="pl-PL"/>
        </w:rPr>
      </w:pPr>
      <w:r>
        <w:rPr>
          <w:rFonts w:cstheme="minorHAnsi"/>
          <w:sz w:val="20"/>
          <w:lang w:val="pl-PL"/>
        </w:rPr>
        <w:t>Ponadto, c</w:t>
      </w:r>
      <w:r w:rsidRPr="00E932BE">
        <w:rPr>
          <w:rFonts w:cstheme="minorHAnsi"/>
          <w:sz w:val="20"/>
          <w:lang w:val="pl-PL"/>
        </w:rPr>
        <w:t>hoć ogólna produkcja prawa w Polsce w 2018 r. zmalała, to zdecydowanie nie można tego powiedzieć o l</w:t>
      </w:r>
      <w:r>
        <w:rPr>
          <w:rFonts w:cstheme="minorHAnsi"/>
          <w:sz w:val="20"/>
          <w:lang w:val="pl-PL"/>
        </w:rPr>
        <w:t xml:space="preserve">egislacji dotyczącej </w:t>
      </w:r>
      <w:r w:rsidRPr="008A7F45">
        <w:rPr>
          <w:rFonts w:cstheme="minorHAnsi"/>
          <w:b/>
          <w:color w:val="4F2D7F"/>
          <w:sz w:val="20"/>
          <w:lang w:val="pl-PL"/>
        </w:rPr>
        <w:t>podatków</w:t>
      </w:r>
      <w:r>
        <w:rPr>
          <w:rFonts w:cstheme="minorHAnsi"/>
          <w:sz w:val="20"/>
          <w:lang w:val="pl-PL"/>
        </w:rPr>
        <w:t xml:space="preserve">, czyli być może najważniejszej z puntu widzenia przedsiębiorców dziedziny prawa. </w:t>
      </w:r>
      <w:r w:rsidRPr="00E932BE">
        <w:rPr>
          <w:rFonts w:cstheme="minorHAnsi"/>
          <w:sz w:val="20"/>
          <w:lang w:val="pl-PL"/>
        </w:rPr>
        <w:t xml:space="preserve">Rok 2018, a właściwie samo jego drugie półrocze (pierwsze ustawy uchwalono dopiero w czerwcu), przyniosło </w:t>
      </w:r>
      <w:r>
        <w:rPr>
          <w:rFonts w:cstheme="minorHAnsi"/>
          <w:sz w:val="20"/>
          <w:lang w:val="pl-PL"/>
        </w:rPr>
        <w:t xml:space="preserve">bowiem </w:t>
      </w:r>
      <w:r w:rsidRPr="00E932BE">
        <w:rPr>
          <w:rFonts w:cstheme="minorHAnsi"/>
          <w:sz w:val="20"/>
          <w:lang w:val="pl-PL"/>
        </w:rPr>
        <w:t xml:space="preserve">wiele istotnych zmian w przepisach podatkowych. Łącznie uchwalone przez Sejm ustawy dotyczące podatków wyniosły </w:t>
      </w:r>
      <w:r w:rsidRPr="00E932BE">
        <w:rPr>
          <w:rFonts w:cstheme="minorHAnsi"/>
          <w:b/>
          <w:color w:val="4F2D7F"/>
          <w:sz w:val="20"/>
          <w:lang w:val="pl-PL"/>
        </w:rPr>
        <w:t>362 strony</w:t>
      </w:r>
      <w:r w:rsidRPr="00E932BE">
        <w:rPr>
          <w:rFonts w:cstheme="minorHAnsi"/>
          <w:sz w:val="20"/>
          <w:lang w:val="pl-PL"/>
        </w:rPr>
        <w:t xml:space="preserve">, co jest najwyższym wynikiem od 2004 r., kiedy wchodziła w życie cała nowa ustawa o VAT. </w:t>
      </w:r>
    </w:p>
    <w:p w:rsidR="008A7F45" w:rsidRDefault="008A7F45" w:rsidP="00E932BE">
      <w:pPr>
        <w:pStyle w:val="Tekstpodstawowy"/>
        <w:spacing w:after="240" w:line="360" w:lineRule="auto"/>
        <w:rPr>
          <w:rFonts w:cstheme="minorHAnsi"/>
          <w:sz w:val="20"/>
          <w:lang w:val="pl-PL"/>
        </w:rPr>
      </w:pPr>
      <w:r w:rsidRPr="008A7F45">
        <w:rPr>
          <w:rFonts w:cstheme="minorHAnsi"/>
          <w:sz w:val="20"/>
          <w:lang w:val="pl-PL"/>
        </w:rPr>
        <w:t>O skali zmian w przepisach podatkowych może świa</w:t>
      </w:r>
      <w:r>
        <w:rPr>
          <w:rFonts w:cstheme="minorHAnsi"/>
          <w:sz w:val="20"/>
          <w:lang w:val="pl-PL"/>
        </w:rPr>
        <w:t xml:space="preserve">dczyć też fakt, że teksty jednolite </w:t>
      </w:r>
      <w:r w:rsidRPr="008A7F45">
        <w:rPr>
          <w:rFonts w:cstheme="minorHAnsi"/>
          <w:sz w:val="20"/>
          <w:lang w:val="pl-PL"/>
        </w:rPr>
        <w:t>pięciu głównych ustaw podatkowych, czyli ic</w:t>
      </w:r>
      <w:r>
        <w:rPr>
          <w:rFonts w:cstheme="minorHAnsi"/>
          <w:sz w:val="20"/>
          <w:lang w:val="pl-PL"/>
        </w:rPr>
        <w:t xml:space="preserve">h pełne, spójne (uwzględniające </w:t>
      </w:r>
      <w:r w:rsidRPr="008A7F45">
        <w:rPr>
          <w:rFonts w:cstheme="minorHAnsi"/>
          <w:sz w:val="20"/>
          <w:lang w:val="pl-PL"/>
        </w:rPr>
        <w:t>wszystkie wcześniejsze zmiany) zapisy, na poc</w:t>
      </w:r>
      <w:r>
        <w:rPr>
          <w:rFonts w:cstheme="minorHAnsi"/>
          <w:sz w:val="20"/>
          <w:lang w:val="pl-PL"/>
        </w:rPr>
        <w:t xml:space="preserve">zątku roku składały się w sumie </w:t>
      </w:r>
      <w:r w:rsidRPr="008A7F45">
        <w:rPr>
          <w:rFonts w:cstheme="minorHAnsi"/>
          <w:sz w:val="20"/>
          <w:lang w:val="pl-PL"/>
        </w:rPr>
        <w:t>na 1330 stron maszynopisu, tymczasem licząc</w:t>
      </w:r>
      <w:r>
        <w:rPr>
          <w:rFonts w:cstheme="minorHAnsi"/>
          <w:sz w:val="20"/>
          <w:lang w:val="pl-PL"/>
        </w:rPr>
        <w:t xml:space="preserve"> od 15 czerwca do końca 2018 r. </w:t>
      </w:r>
      <w:r w:rsidRPr="008A7F45">
        <w:rPr>
          <w:rFonts w:cstheme="minorHAnsi"/>
          <w:sz w:val="20"/>
          <w:lang w:val="pl-PL"/>
        </w:rPr>
        <w:t>treść ustaw nowelizujących te ustawy z</w:t>
      </w:r>
      <w:r>
        <w:rPr>
          <w:rFonts w:cstheme="minorHAnsi"/>
          <w:sz w:val="20"/>
          <w:lang w:val="pl-PL"/>
        </w:rPr>
        <w:t xml:space="preserve">awarta została na 314 stronach. </w:t>
      </w:r>
      <w:r w:rsidRPr="008A7F45">
        <w:rPr>
          <w:rFonts w:cstheme="minorHAnsi"/>
          <w:sz w:val="20"/>
          <w:lang w:val="pl-PL"/>
        </w:rPr>
        <w:t>Nowelizacje liczone w relacji do</w:t>
      </w:r>
      <w:r w:rsidR="00F20D77">
        <w:rPr>
          <w:rFonts w:cstheme="minorHAnsi"/>
          <w:sz w:val="20"/>
          <w:lang w:val="pl-PL"/>
        </w:rPr>
        <w:t> </w:t>
      </w:r>
      <w:r w:rsidRPr="008A7F45">
        <w:rPr>
          <w:rFonts w:cstheme="minorHAnsi"/>
          <w:sz w:val="20"/>
          <w:lang w:val="pl-PL"/>
        </w:rPr>
        <w:t xml:space="preserve">tekstów jednolitych stanowiły więc aż </w:t>
      </w:r>
      <w:r w:rsidRPr="007F406D">
        <w:rPr>
          <w:rFonts w:cstheme="minorHAnsi"/>
          <w:b/>
          <w:color w:val="4F2D7F"/>
          <w:sz w:val="20"/>
          <w:lang w:val="pl-PL"/>
        </w:rPr>
        <w:t>23,6 proc.</w:t>
      </w:r>
    </w:p>
    <w:p w:rsidR="008A7F45" w:rsidRPr="0063081E" w:rsidRDefault="008A7F45" w:rsidP="008A7F45">
      <w:pPr>
        <w:pStyle w:val="Tekstpodstawowy"/>
        <w:spacing w:after="240" w:line="360" w:lineRule="auto"/>
        <w:rPr>
          <w:rFonts w:cstheme="minorHAnsi"/>
          <w:sz w:val="16"/>
          <w:lang w:val="pl-PL"/>
        </w:rPr>
      </w:pPr>
    </w:p>
    <w:p w:rsidR="008A7F45" w:rsidRPr="00D0541F" w:rsidRDefault="008A7F45" w:rsidP="00934090">
      <w:pPr>
        <w:pStyle w:val="Tekstpodstawowy"/>
        <w:spacing w:after="240" w:line="360" w:lineRule="auto"/>
        <w:rPr>
          <w:rFonts w:cstheme="minorHAnsi"/>
          <w:i/>
          <w:noProof/>
          <w:sz w:val="20"/>
          <w:lang w:val="pl-PL" w:eastAsia="pl-PL"/>
        </w:rPr>
      </w:pPr>
      <w:r w:rsidRPr="009C006A">
        <w:rPr>
          <w:rFonts w:cstheme="minorHAnsi"/>
          <w:i/>
          <w:noProof/>
          <w:sz w:val="20"/>
          <w:lang w:val="pl-PL" w:eastAsia="pl-PL"/>
        </w:rPr>
        <w:drawing>
          <wp:anchor distT="0" distB="0" distL="114300" distR="114300" simplePos="0" relativeHeight="251661312" behindDoc="0" locked="0" layoutInCell="1" allowOverlap="1" wp14:anchorId="77FFA54C" wp14:editId="25755B68">
            <wp:simplePos x="0" y="0"/>
            <wp:positionH relativeFrom="column">
              <wp:posOffset>-2540</wp:posOffset>
            </wp:positionH>
            <wp:positionV relativeFrom="paragraph">
              <wp:posOffset>-127000</wp:posOffset>
            </wp:positionV>
            <wp:extent cx="660400" cy="615950"/>
            <wp:effectExtent l="0" t="0" r="635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090" w:rsidRPr="00934090">
        <w:rPr>
          <w:rFonts w:cstheme="minorHAnsi"/>
          <w:i/>
          <w:sz w:val="20"/>
          <w:lang w:val="pl-PL"/>
        </w:rPr>
        <w:t>Stale powtarzamy, że nie jesteśmy przeciwnikami zmian w prawie. Wręcz przeciwnie, polskie prawo powinno się zmieniać, świat idzie do przodu i regulacje muszą za nim nadążać. Nowe ustawy i rozporządzenia są więc oczywiście konieczne i należy docenić dobre intencje i</w:t>
      </w:r>
      <w:r w:rsidR="00F20D77">
        <w:rPr>
          <w:rFonts w:cstheme="minorHAnsi"/>
          <w:i/>
          <w:sz w:val="20"/>
          <w:lang w:val="pl-PL"/>
        </w:rPr>
        <w:t> </w:t>
      </w:r>
      <w:r w:rsidR="00934090" w:rsidRPr="00934090">
        <w:rPr>
          <w:rFonts w:cstheme="minorHAnsi"/>
          <w:i/>
          <w:sz w:val="20"/>
          <w:lang w:val="pl-PL"/>
        </w:rPr>
        <w:t>wysiłek legislatorów, którzy chcą polskie prawo udoskonalać. Uwa</w:t>
      </w:r>
      <w:r w:rsidR="007F406D">
        <w:rPr>
          <w:rFonts w:cstheme="minorHAnsi"/>
          <w:i/>
          <w:sz w:val="20"/>
          <w:lang w:val="pl-PL"/>
        </w:rPr>
        <w:t>żamy jednak, że nadal,</w:t>
      </w:r>
      <w:r w:rsidR="00934090" w:rsidRPr="00934090">
        <w:rPr>
          <w:rFonts w:cstheme="minorHAnsi"/>
          <w:i/>
          <w:sz w:val="20"/>
          <w:lang w:val="pl-PL"/>
        </w:rPr>
        <w:t xml:space="preserve"> mimo</w:t>
      </w:r>
      <w:r w:rsidR="00F20D77">
        <w:rPr>
          <w:rFonts w:cstheme="minorHAnsi"/>
          <w:i/>
          <w:sz w:val="20"/>
          <w:lang w:val="pl-PL"/>
        </w:rPr>
        <w:t xml:space="preserve"> wyraźnej</w:t>
      </w:r>
      <w:r w:rsidR="00934090" w:rsidRPr="00934090">
        <w:rPr>
          <w:rFonts w:cstheme="minorHAnsi"/>
          <w:i/>
          <w:sz w:val="20"/>
          <w:lang w:val="pl-PL"/>
        </w:rPr>
        <w:t xml:space="preserve"> </w:t>
      </w:r>
      <w:r w:rsidR="00F20D77">
        <w:rPr>
          <w:rFonts w:cstheme="minorHAnsi"/>
          <w:i/>
          <w:sz w:val="20"/>
          <w:lang w:val="pl-PL"/>
        </w:rPr>
        <w:t>poprawy sytuacji</w:t>
      </w:r>
      <w:r w:rsidR="007F406D">
        <w:rPr>
          <w:rFonts w:cstheme="minorHAnsi"/>
          <w:i/>
          <w:sz w:val="20"/>
          <w:lang w:val="pl-PL"/>
        </w:rPr>
        <w:t>,</w:t>
      </w:r>
      <w:r w:rsidR="00934090" w:rsidRPr="00934090">
        <w:rPr>
          <w:rFonts w:cstheme="minorHAnsi"/>
          <w:i/>
          <w:sz w:val="20"/>
          <w:lang w:val="pl-PL"/>
        </w:rPr>
        <w:t xml:space="preserve"> zmienność prawa jest zbyt duża</w:t>
      </w:r>
      <w:r>
        <w:rPr>
          <w:rFonts w:cstheme="minorHAnsi"/>
          <w:i/>
          <w:noProof/>
          <w:sz w:val="20"/>
          <w:lang w:val="pl-PL" w:eastAsia="pl-PL"/>
        </w:rPr>
        <w:t xml:space="preserve"> </w:t>
      </w:r>
      <w:r w:rsidRPr="0063081E">
        <w:rPr>
          <w:rFonts w:cstheme="minorHAnsi"/>
          <w:sz w:val="20"/>
          <w:lang w:val="pl-PL"/>
        </w:rPr>
        <w:t xml:space="preserve">– mówi </w:t>
      </w:r>
      <w:r w:rsidRPr="0063081E">
        <w:rPr>
          <w:rFonts w:cstheme="minorHAnsi"/>
          <w:b/>
          <w:sz w:val="20"/>
          <w:lang w:val="pl-PL"/>
        </w:rPr>
        <w:t>Tomasz Wróblewski</w:t>
      </w:r>
      <w:r w:rsidRPr="0063081E">
        <w:rPr>
          <w:rFonts w:cstheme="minorHAnsi"/>
          <w:sz w:val="20"/>
          <w:lang w:val="pl-PL"/>
        </w:rPr>
        <w:t>.</w:t>
      </w:r>
      <w:bookmarkStart w:id="0" w:name="_GoBack"/>
      <w:bookmarkEnd w:id="0"/>
    </w:p>
    <w:p w:rsidR="008A7F45" w:rsidRDefault="008A7F45" w:rsidP="00E932BE">
      <w:pPr>
        <w:pStyle w:val="Tekstpodstawowy"/>
        <w:spacing w:after="240" w:line="360" w:lineRule="auto"/>
        <w:rPr>
          <w:rFonts w:cstheme="minorHAnsi"/>
          <w:sz w:val="20"/>
          <w:lang w:val="pl-PL"/>
        </w:rPr>
      </w:pPr>
    </w:p>
    <w:p w:rsidR="007A5040" w:rsidRPr="0063081E" w:rsidRDefault="007A5040" w:rsidP="0063081E">
      <w:pPr>
        <w:pStyle w:val="Tekstpodstawowy"/>
        <w:spacing w:after="240" w:line="360" w:lineRule="auto"/>
        <w:jc w:val="center"/>
        <w:rPr>
          <w:rFonts w:cstheme="minorHAnsi"/>
          <w:sz w:val="20"/>
          <w:lang w:val="pl-PL"/>
        </w:rPr>
      </w:pPr>
      <w:r w:rsidRPr="0063081E">
        <w:rPr>
          <w:rFonts w:cstheme="minorHAnsi"/>
          <w:sz w:val="20"/>
          <w:lang w:val="pl-PL"/>
        </w:rPr>
        <w:t>- koniec -</w:t>
      </w:r>
    </w:p>
    <w:p w:rsidR="007A5040" w:rsidRPr="0063081E" w:rsidRDefault="007A5040" w:rsidP="0063081E">
      <w:pPr>
        <w:pStyle w:val="Nagwek2"/>
        <w:spacing w:after="240"/>
        <w:rPr>
          <w:rFonts w:asciiTheme="minorHAnsi" w:hAnsiTheme="minorHAnsi" w:cstheme="minorHAnsi"/>
          <w:lang w:val="pl-PL"/>
        </w:rPr>
      </w:pPr>
    </w:p>
    <w:p w:rsidR="007A5040" w:rsidRPr="0063081E" w:rsidRDefault="007A5040" w:rsidP="0063081E">
      <w:pPr>
        <w:pStyle w:val="Nagwek2"/>
        <w:spacing w:after="240"/>
        <w:rPr>
          <w:rFonts w:asciiTheme="minorHAnsi" w:hAnsiTheme="minorHAnsi" w:cstheme="minorHAnsi"/>
          <w:color w:val="4F2D7F"/>
          <w:lang w:val="pl-PL"/>
        </w:rPr>
      </w:pPr>
      <w:r w:rsidRPr="0063081E">
        <w:rPr>
          <w:rFonts w:asciiTheme="minorHAnsi" w:hAnsiTheme="minorHAnsi" w:cstheme="minorHAnsi"/>
          <w:color w:val="4F2D7F"/>
          <w:lang w:val="pl-PL"/>
        </w:rPr>
        <w:t>Zachęcamy do kontaktu:</w:t>
      </w:r>
    </w:p>
    <w:p w:rsidR="007A5040" w:rsidRPr="0063081E" w:rsidRDefault="007A5040" w:rsidP="009C006A">
      <w:pPr>
        <w:pStyle w:val="Tekstpodstawowy"/>
        <w:rPr>
          <w:rFonts w:cstheme="minorHAnsi"/>
          <w:b/>
          <w:lang w:val="pl-PL"/>
        </w:rPr>
      </w:pPr>
      <w:r w:rsidRPr="0063081E">
        <w:rPr>
          <w:rFonts w:cstheme="minorHAnsi"/>
          <w:b/>
          <w:lang w:val="pl-PL"/>
        </w:rPr>
        <w:t>Jacek Kowalczyk</w:t>
      </w:r>
    </w:p>
    <w:p w:rsidR="007A5040" w:rsidRPr="0073028A" w:rsidRDefault="00CE09A5" w:rsidP="009C006A">
      <w:pPr>
        <w:pStyle w:val="Tekstpodstawowy"/>
        <w:rPr>
          <w:rFonts w:cstheme="minorHAnsi"/>
          <w:lang w:val="pl-PL"/>
        </w:rPr>
      </w:pPr>
      <w:r w:rsidRPr="0073028A">
        <w:rPr>
          <w:rFonts w:cstheme="minorHAnsi"/>
          <w:lang w:val="pl-PL"/>
        </w:rPr>
        <w:t>Dyrektor</w:t>
      </w:r>
      <w:r w:rsidR="007A5040" w:rsidRPr="0073028A">
        <w:rPr>
          <w:rFonts w:cstheme="minorHAnsi"/>
          <w:lang w:val="pl-PL"/>
        </w:rPr>
        <w:t xml:space="preserve"> Marketingu i PR</w:t>
      </w:r>
    </w:p>
    <w:p w:rsidR="007A5040" w:rsidRPr="0073028A" w:rsidRDefault="007A5040" w:rsidP="009C006A">
      <w:pPr>
        <w:pStyle w:val="Tekstpodstawowy"/>
        <w:rPr>
          <w:rFonts w:cstheme="minorHAnsi"/>
          <w:lang w:val="pl-PL"/>
        </w:rPr>
      </w:pPr>
      <w:r w:rsidRPr="0073028A">
        <w:rPr>
          <w:rFonts w:cstheme="minorHAnsi"/>
          <w:lang w:val="pl-PL"/>
        </w:rPr>
        <w:t>Grant Thornton</w:t>
      </w:r>
    </w:p>
    <w:p w:rsidR="007A5040" w:rsidRPr="0073028A" w:rsidRDefault="007A5040" w:rsidP="009C006A">
      <w:pPr>
        <w:pStyle w:val="Tekstpodstawowy"/>
        <w:rPr>
          <w:rFonts w:cstheme="minorHAnsi"/>
          <w:lang w:val="pl-PL"/>
        </w:rPr>
      </w:pPr>
      <w:r w:rsidRPr="0073028A">
        <w:rPr>
          <w:rFonts w:cstheme="minorHAnsi"/>
          <w:lang w:val="pl-PL"/>
        </w:rPr>
        <w:t>T 505 024 168, 22 205 48 41</w:t>
      </w:r>
    </w:p>
    <w:p w:rsidR="007A5040" w:rsidRPr="0073028A" w:rsidRDefault="007A5040" w:rsidP="009C006A">
      <w:pPr>
        <w:pStyle w:val="Tekstpodstawowy"/>
        <w:rPr>
          <w:rFonts w:cstheme="minorHAnsi"/>
          <w:lang w:val="pl-PL"/>
        </w:rPr>
      </w:pPr>
      <w:r w:rsidRPr="0073028A">
        <w:rPr>
          <w:rFonts w:cstheme="minorHAnsi"/>
          <w:lang w:val="pl-PL"/>
        </w:rPr>
        <w:t>E jacek.kowalczyk@pl.gt.com</w:t>
      </w:r>
    </w:p>
    <w:p w:rsidR="007A5040" w:rsidRPr="0073028A" w:rsidRDefault="007A5040" w:rsidP="0063081E">
      <w:pPr>
        <w:pStyle w:val="Nagwek3"/>
        <w:spacing w:after="240"/>
        <w:rPr>
          <w:lang w:val="pl-PL"/>
        </w:rPr>
      </w:pPr>
    </w:p>
    <w:p w:rsidR="007A5040" w:rsidRPr="0063081E" w:rsidRDefault="007A5040" w:rsidP="0063081E">
      <w:pPr>
        <w:pStyle w:val="Nagwek4"/>
        <w:spacing w:after="240"/>
        <w:rPr>
          <w:b/>
          <w:lang w:val="pl-PL"/>
        </w:rPr>
      </w:pPr>
      <w:r w:rsidRPr="0063081E">
        <w:rPr>
          <w:b/>
          <w:lang w:val="pl-PL"/>
        </w:rPr>
        <w:t>O Grant Thornton</w:t>
      </w:r>
    </w:p>
    <w:p w:rsidR="007A5040" w:rsidRPr="0063081E" w:rsidRDefault="007A5040" w:rsidP="0063081E">
      <w:pPr>
        <w:pStyle w:val="Tekstpodstawowy"/>
        <w:spacing w:after="240"/>
        <w:rPr>
          <w:rFonts w:cstheme="minorHAnsi"/>
          <w:lang w:val="pl-PL"/>
        </w:rPr>
      </w:pPr>
      <w:r w:rsidRPr="0063081E">
        <w:rPr>
          <w:rFonts w:cstheme="minorHAnsi"/>
          <w:b/>
          <w:lang w:val="pl-PL"/>
        </w:rPr>
        <w:t>Grant Thornton</w:t>
      </w:r>
      <w:r w:rsidRPr="0063081E">
        <w:rPr>
          <w:rFonts w:cstheme="minorHAnsi"/>
          <w:lang w:val="pl-PL"/>
        </w:rPr>
        <w:t xml:space="preserve"> to jedna z wiodących organizacji audytorsko-doradczych na świecie. Wiedza, doświadczenie</w:t>
      </w:r>
      <w:r w:rsidRPr="0063081E">
        <w:rPr>
          <w:rFonts w:cstheme="minorHAnsi"/>
          <w:lang w:val="pl-PL"/>
        </w:rPr>
        <w:br/>
        <w:t xml:space="preserve"> i zaangażowan</w:t>
      </w:r>
      <w:r w:rsidR="00D875F6">
        <w:rPr>
          <w:rFonts w:cstheme="minorHAnsi"/>
          <w:lang w:val="pl-PL"/>
        </w:rPr>
        <w:t>ie ponad 3 6</w:t>
      </w:r>
      <w:r w:rsidR="00DB5FA3" w:rsidRPr="0063081E">
        <w:rPr>
          <w:rFonts w:cstheme="minorHAnsi"/>
          <w:lang w:val="pl-PL"/>
        </w:rPr>
        <w:t>00 partnerów oraz 50</w:t>
      </w:r>
      <w:r w:rsidRPr="0063081E">
        <w:rPr>
          <w:rFonts w:cstheme="minorHAnsi"/>
          <w:lang w:val="pl-PL"/>
        </w:rPr>
        <w:t xml:space="preserve"> 000 pracowników Grant Thornton dost</w:t>
      </w:r>
      <w:r w:rsidR="00DB5FA3" w:rsidRPr="0063081E">
        <w:rPr>
          <w:rFonts w:cstheme="minorHAnsi"/>
          <w:lang w:val="pl-PL"/>
        </w:rPr>
        <w:t>ępne są dla klientów w ponad 136</w:t>
      </w:r>
      <w:r w:rsidRPr="0063081E">
        <w:rPr>
          <w:rFonts w:cstheme="minorHAnsi"/>
          <w:lang w:val="pl-PL"/>
        </w:rPr>
        <w:t xml:space="preserve"> </w:t>
      </w:r>
      <w:r w:rsidR="00DB5FA3" w:rsidRPr="0063081E">
        <w:rPr>
          <w:rFonts w:cstheme="minorHAnsi"/>
          <w:lang w:val="pl-PL"/>
        </w:rPr>
        <w:t>krajach. W Polsce działamy od 25 lat, a 550</w:t>
      </w:r>
      <w:r w:rsidRPr="0063081E">
        <w:rPr>
          <w:rFonts w:cstheme="minorHAnsi"/>
          <w:lang w:val="pl-PL"/>
        </w:rPr>
        <w:t xml:space="preserve">-osobowy zespół oraz obecność w kluczowych aglomeracjach (Warszawa, Poznań, Katowice, Wrocław, Kraków i Toruń) zapewniają nam bliski kontakt z klientami oraz umożliwiają realizację wymagających projektów w obszarze usług audytorskich, doradztwa podatkowego, doradztwa gospodarczego, prawnego oraz outsourcingu rachunkowości, kadr i płac bez względu na wielkość, rodzaj i lokalizację biznesu klienta. Klienci firmy to ponad 1000 podmiotów, w tym kilkadziesiąt spółek notowanych na GPW oraz firmy z top 500 największych przedsiębiorstw działających w naszym kraju. Grant Thornton jest wyłącznym partnerem Grant Thornton International w Polsce. Więcej informacji na </w:t>
      </w:r>
      <w:hyperlink r:id="rId13" w:history="1">
        <w:r w:rsidRPr="0063081E">
          <w:rPr>
            <w:rStyle w:val="Hipercze"/>
            <w:rFonts w:cstheme="minorHAnsi"/>
            <w:lang w:val="pl-PL"/>
          </w:rPr>
          <w:t>www.grantthornton.pl</w:t>
        </w:r>
      </w:hyperlink>
      <w:r w:rsidRPr="0063081E">
        <w:rPr>
          <w:rFonts w:cstheme="minorHAnsi"/>
          <w:lang w:val="pl-PL"/>
        </w:rPr>
        <w:t xml:space="preserve"> </w:t>
      </w:r>
    </w:p>
    <w:p w:rsidR="00E50D26" w:rsidRPr="0063081E" w:rsidRDefault="007A5040" w:rsidP="009C006A">
      <w:pPr>
        <w:pStyle w:val="Tekstpodstawowy"/>
        <w:spacing w:after="240"/>
        <w:rPr>
          <w:rFonts w:cstheme="minorHAnsi"/>
        </w:rPr>
      </w:pPr>
      <w:r w:rsidRPr="0063081E">
        <w:rPr>
          <w:rFonts w:cstheme="minorHAnsi"/>
          <w:b/>
          <w:lang w:val="pl-PL"/>
        </w:rPr>
        <w:t>Grant Thornton International Ltd</w:t>
      </w:r>
      <w:r w:rsidRPr="0063081E">
        <w:rPr>
          <w:rFonts w:cstheme="minorHAnsi"/>
          <w:lang w:val="pl-PL"/>
        </w:rPr>
        <w:t xml:space="preserve">. (GTI) jest jedną z wiodących światowych organizacji, zrzeszającą firmy księgowe </w:t>
      </w:r>
      <w:r w:rsidRPr="0063081E">
        <w:rPr>
          <w:rFonts w:cstheme="minorHAnsi"/>
          <w:lang w:val="pl-PL"/>
        </w:rPr>
        <w:br/>
        <w:t xml:space="preserve">i doradcze, oferujące usługi poświadczające, doradztwa podatkowego, a także udzielające specjalistycznych porad dla przedsiębiorców prywatnych i jednostek interesu publicznego. Więcej informacji na </w:t>
      </w:r>
      <w:hyperlink r:id="rId14" w:history="1">
        <w:r w:rsidRPr="0063081E">
          <w:rPr>
            <w:rStyle w:val="Hipercze"/>
            <w:rFonts w:cstheme="minorHAnsi"/>
            <w:lang w:val="pl-PL"/>
          </w:rPr>
          <w:t>www.gti.org</w:t>
        </w:r>
      </w:hyperlink>
      <w:r w:rsidR="009C006A">
        <w:rPr>
          <w:rStyle w:val="Hipercze"/>
          <w:rFonts w:cstheme="minorHAnsi"/>
          <w:lang w:val="pl-PL"/>
        </w:rPr>
        <w:t>.</w:t>
      </w:r>
      <w:r w:rsidR="009C006A" w:rsidRPr="0063081E">
        <w:rPr>
          <w:rFonts w:cstheme="minorHAnsi"/>
        </w:rPr>
        <w:t xml:space="preserve"> </w:t>
      </w:r>
    </w:p>
    <w:sectPr w:rsidR="00E50D26" w:rsidRPr="0063081E" w:rsidSect="00CE09A5">
      <w:headerReference w:type="default" r:id="rId15"/>
      <w:footerReference w:type="default" r:id="rId16"/>
      <w:headerReference w:type="first" r:id="rId17"/>
      <w:footerReference w:type="first" r:id="rId18"/>
      <w:pgSz w:w="11907" w:h="16839" w:code="9"/>
      <w:pgMar w:top="2269" w:right="1134" w:bottom="1276" w:left="1134" w:header="680" w:footer="4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41B" w:rsidRDefault="00C5041B">
      <w:r>
        <w:separator/>
      </w:r>
    </w:p>
  </w:endnote>
  <w:endnote w:type="continuationSeparator" w:id="0">
    <w:p w:rsidR="00C5041B" w:rsidRDefault="00C50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charset w:val="EE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BA6" w:rsidRPr="00C14BA6" w:rsidRDefault="00C14BA6" w:rsidP="00C14BA6">
    <w:pPr>
      <w:pStyle w:val="Stopka"/>
      <w:rPr>
        <w:b/>
      </w:rPr>
    </w:pPr>
  </w:p>
  <w:p w:rsidR="00C14BA6" w:rsidRDefault="00C14BA6" w:rsidP="00E67B14">
    <w:pPr>
      <w:tabs>
        <w:tab w:val="right" w:pos="8636"/>
      </w:tabs>
      <w:spacing w:after="0" w:line="240" w:lineRule="auto"/>
      <w:rPr>
        <w:rFonts w:cstheme="minorHAnsi"/>
        <w:color w:val="747678" w:themeColor="background2"/>
        <w:sz w:val="12"/>
        <w:szCs w:val="16"/>
        <w:lang w:val="pl-PL"/>
      </w:rPr>
    </w:pPr>
    <w:r w:rsidRPr="00C14BA6">
      <w:rPr>
        <w:rFonts w:cstheme="minorHAnsi"/>
        <w:color w:val="747678" w:themeColor="background2"/>
        <w:sz w:val="12"/>
        <w:szCs w:val="16"/>
        <w:lang w:val="pl-PL"/>
      </w:rPr>
      <w:t xml:space="preserve">© Grant Thornton. </w:t>
    </w:r>
    <w:r w:rsidRPr="00C14BA6">
      <w:rPr>
        <w:rFonts w:cstheme="minorHAnsi"/>
        <w:noProof/>
        <w:color w:val="747678" w:themeColor="background2"/>
        <w:sz w:val="12"/>
        <w:szCs w:val="16"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45E7D709" wp14:editId="6A31584C">
              <wp:simplePos x="0" y="0"/>
              <wp:positionH relativeFrom="margin">
                <wp:posOffset>0</wp:posOffset>
              </wp:positionH>
              <wp:positionV relativeFrom="paragraph">
                <wp:posOffset>-71755</wp:posOffset>
              </wp:positionV>
              <wp:extent cx="1508400" cy="0"/>
              <wp:effectExtent l="0" t="0" r="15875" b="19050"/>
              <wp:wrapNone/>
              <wp:docPr id="5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5084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2D7F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886C0D" id="Straight Connector 2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5.65pt" to="118.75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" strokecolor="#4f2d7f" strokeweight="1.5pt">
              <w10:wrap anchorx="margin"/>
              <w10:anchorlock/>
            </v:line>
          </w:pict>
        </mc:Fallback>
      </mc:AlternateContent>
    </w:r>
    <w:r>
      <w:rPr>
        <w:rFonts w:cstheme="minorHAnsi"/>
        <w:color w:val="747678" w:themeColor="background2"/>
        <w:sz w:val="12"/>
        <w:szCs w:val="16"/>
        <w:lang w:val="pl-PL"/>
      </w:rPr>
      <w:t>Wszystkie prawa zastrzeżone</w:t>
    </w:r>
  </w:p>
  <w:p w:rsidR="00C14BA6" w:rsidRPr="00C14BA6" w:rsidRDefault="00C14BA6" w:rsidP="00C14BA6">
    <w:pPr>
      <w:tabs>
        <w:tab w:val="right" w:pos="8636"/>
      </w:tabs>
      <w:spacing w:after="0" w:line="240" w:lineRule="auto"/>
      <w:jc w:val="right"/>
      <w:rPr>
        <w:rFonts w:ascii="Arial" w:hAnsi="Arial" w:cstheme="minorHAnsi"/>
        <w:color w:val="747678" w:themeColor="background2"/>
        <w:sz w:val="13"/>
        <w:szCs w:val="16"/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BA6" w:rsidRDefault="00C14BA6" w:rsidP="00887334">
    <w:pPr>
      <w:pStyle w:val="Nagwek"/>
    </w:pPr>
  </w:p>
  <w:p w:rsidR="00C14BA6" w:rsidRPr="00C14BA6" w:rsidRDefault="00C14BA6" w:rsidP="0083039F">
    <w:pPr>
      <w:pStyle w:val="Stopka"/>
      <w:jc w:val="left"/>
      <w:rPr>
        <w:b/>
        <w:sz w:val="4"/>
      </w:rPr>
    </w:pPr>
    <w:r w:rsidRPr="00D96EDA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6944" behindDoc="0" locked="1" layoutInCell="1" allowOverlap="1" wp14:anchorId="2EF53151" wp14:editId="0F71CC84">
              <wp:simplePos x="0" y="0"/>
              <wp:positionH relativeFrom="margin">
                <wp:posOffset>0</wp:posOffset>
              </wp:positionH>
              <wp:positionV relativeFrom="paragraph">
                <wp:posOffset>-71755</wp:posOffset>
              </wp:positionV>
              <wp:extent cx="1508125" cy="0"/>
              <wp:effectExtent l="0" t="0" r="15875" b="19050"/>
              <wp:wrapNone/>
              <wp:docPr id="3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50812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2D7F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DCF382" id="Straight Connector 2" o:spid="_x0000_s1026" style="position:absolute;z-index:2516669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5.65pt" to="118.75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" strokecolor="#4f2d7f" strokeweight="1.5pt">
              <w10:wrap anchorx="margin"/>
              <w10:anchorlock/>
            </v:line>
          </w:pict>
        </mc:Fallback>
      </mc:AlternateContent>
    </w:r>
    <w:proofErr w:type="spellStart"/>
    <w:r w:rsidRPr="007A5040">
      <w:rPr>
        <w:b/>
      </w:rPr>
      <w:t>Audyt</w:t>
    </w:r>
    <w:proofErr w:type="spellEnd"/>
    <w:r w:rsidRPr="00C14BA6">
      <w:rPr>
        <w:b/>
      </w:rPr>
      <w:t xml:space="preserve"> – </w:t>
    </w:r>
    <w:proofErr w:type="spellStart"/>
    <w:r w:rsidRPr="007A5040">
      <w:rPr>
        <w:b/>
      </w:rPr>
      <w:t>Podatki</w:t>
    </w:r>
    <w:proofErr w:type="spellEnd"/>
    <w:r w:rsidRPr="00C14BA6">
      <w:rPr>
        <w:b/>
      </w:rPr>
      <w:t xml:space="preserve"> – Outsourcing – </w:t>
    </w:r>
    <w:r w:rsidRPr="007A5040">
      <w:rPr>
        <w:b/>
      </w:rPr>
      <w:t>Doradztwo</w:t>
    </w:r>
  </w:p>
  <w:p w:rsidR="00C14BA6" w:rsidRPr="001A7C86" w:rsidRDefault="00C14BA6" w:rsidP="00A41E8A">
    <w:pPr>
      <w:pStyle w:val="Stopka"/>
      <w:jc w:val="left"/>
    </w:pPr>
    <w:r w:rsidRPr="001A7C86">
      <w:t>Member of Grant Thornton International Ltd</w:t>
    </w:r>
  </w:p>
  <w:p w:rsidR="00C14BA6" w:rsidRPr="00C14BA6" w:rsidRDefault="00C14BA6" w:rsidP="0083039F">
    <w:pPr>
      <w:pStyle w:val="LetterFooter"/>
      <w:rPr>
        <w:rFonts w:asciiTheme="minorHAnsi" w:hAnsiTheme="minorHAnsi" w:cstheme="minorHAnsi"/>
      </w:rPr>
    </w:pPr>
  </w:p>
  <w:p w:rsidR="00C14BA6" w:rsidRPr="00A41E8A" w:rsidRDefault="00C14BA6" w:rsidP="0083039F">
    <w:pPr>
      <w:pStyle w:val="Stopka"/>
      <w:jc w:val="left"/>
      <w:rPr>
        <w:b/>
        <w:lang w:val="pl-PL"/>
      </w:rPr>
    </w:pPr>
    <w:r w:rsidRPr="00A41E8A">
      <w:rPr>
        <w:b/>
        <w:lang w:val="pl-PL"/>
      </w:rPr>
      <w:t xml:space="preserve">Grant Thornton Frąckowiak spółka z ograniczoną odpowiedzialnością sp. k. Podmiot uprawniony do badania sprawozdań finansowych nr 3654. </w:t>
    </w:r>
    <w:r w:rsidRPr="00A41E8A">
      <w:rPr>
        <w:b/>
        <w:lang w:val="pl-PL"/>
      </w:rPr>
      <w:br/>
      <w:t xml:space="preserve">Komplementariusz: Grant Thornton Frąckowiak sp. z o.o. Zarząd komplementariusza: </w:t>
    </w:r>
    <w:r w:rsidR="00887334">
      <w:rPr>
        <w:b/>
        <w:lang w:val="pl-PL"/>
      </w:rPr>
      <w:t>Tomasz Wróblewski</w:t>
    </w:r>
    <w:r w:rsidRPr="00A41E8A">
      <w:rPr>
        <w:b/>
        <w:lang w:val="pl-PL"/>
      </w:rPr>
      <w:t xml:space="preserve"> – Prezes Zarządu, </w:t>
    </w:r>
    <w:r w:rsidR="00B904FE">
      <w:rPr>
        <w:b/>
        <w:lang w:val="pl-PL"/>
      </w:rPr>
      <w:t>Dariusz Be</w:t>
    </w:r>
    <w:r w:rsidR="00887334">
      <w:rPr>
        <w:b/>
        <w:lang w:val="pl-PL"/>
      </w:rPr>
      <w:t>d</w:t>
    </w:r>
    <w:r w:rsidR="00B904FE">
      <w:rPr>
        <w:b/>
        <w:lang w:val="pl-PL"/>
      </w:rPr>
      <w:t>n</w:t>
    </w:r>
    <w:r w:rsidR="00887334">
      <w:rPr>
        <w:b/>
        <w:lang w:val="pl-PL"/>
      </w:rPr>
      <w:t xml:space="preserve">arski </w:t>
    </w:r>
    <w:r w:rsidR="00B904FE">
      <w:rPr>
        <w:b/>
        <w:lang w:val="pl-PL"/>
      </w:rPr>
      <w:t xml:space="preserve"> – Wiceprezes Zarządu, </w:t>
    </w:r>
    <w:r w:rsidR="00E67B14">
      <w:rPr>
        <w:b/>
        <w:lang w:val="pl-PL"/>
      </w:rPr>
      <w:br/>
    </w:r>
    <w:r w:rsidR="00B904FE">
      <w:rPr>
        <w:b/>
        <w:lang w:val="pl-PL"/>
      </w:rPr>
      <w:t xml:space="preserve">Jan Letkiewicz </w:t>
    </w:r>
    <w:r w:rsidR="00B904FE" w:rsidRPr="00A41E8A">
      <w:rPr>
        <w:b/>
        <w:lang w:val="pl-PL"/>
      </w:rPr>
      <w:t xml:space="preserve"> – Wiceprezes Zarządu. </w:t>
    </w:r>
    <w:r w:rsidRPr="00A41E8A">
      <w:rPr>
        <w:b/>
        <w:lang w:val="pl-PL"/>
      </w:rPr>
      <w:t xml:space="preserve"> </w:t>
    </w:r>
    <w:r w:rsidRPr="00A41E8A">
      <w:rPr>
        <w:b/>
        <w:lang w:val="pl-PL"/>
      </w:rPr>
      <w:br/>
      <w:t xml:space="preserve">Adres siedziby: 61-131 Poznań, ul. Abpa Antoniego Baraniaka 88 E. NIP: 778-14-76-013, REGON: 301591100. Rachunek bankowy: </w:t>
    </w:r>
    <w:r w:rsidR="005663FE" w:rsidRPr="005663FE">
      <w:rPr>
        <w:b/>
        <w:lang w:val="pl-PL"/>
      </w:rPr>
      <w:t>05 1090 1359 0000 0001 1915 7406</w:t>
    </w:r>
    <w:r w:rsidRPr="00A41E8A">
      <w:rPr>
        <w:b/>
        <w:lang w:val="pl-PL"/>
      </w:rPr>
      <w:t xml:space="preserve">. </w:t>
    </w:r>
    <w:r w:rsidRPr="00A41E8A">
      <w:rPr>
        <w:b/>
        <w:lang w:val="pl-PL"/>
      </w:rPr>
      <w:br/>
      <w:t>Sąd Rejonowy Poznań – Nowe Miasto i Wilda w Poznaniu, VIII Wydział Gospodarczy, nr KRS 0000369868.</w:t>
    </w:r>
  </w:p>
  <w:p w:rsidR="00C14BA6" w:rsidRPr="007A5040" w:rsidRDefault="00C14BA6">
    <w:pPr>
      <w:pStyle w:val="Stopka"/>
      <w:rPr>
        <w:b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41B" w:rsidRDefault="00C5041B">
      <w:r>
        <w:separator/>
      </w:r>
    </w:p>
  </w:footnote>
  <w:footnote w:type="continuationSeparator" w:id="0">
    <w:p w:rsidR="00C5041B" w:rsidRDefault="00C50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BA6" w:rsidRDefault="00C14BA6">
    <w:pPr>
      <w:pStyle w:val="Nagwek"/>
    </w:pPr>
    <w:bookmarkStart w:id="1" w:name="Cover_tbl"/>
    <w:r>
      <w:rPr>
        <w:noProof/>
        <w:lang w:val="pl-PL" w:eastAsia="pl-PL"/>
      </w:rPr>
      <w:drawing>
        <wp:inline distT="0" distB="0" distL="0" distR="0" wp14:anchorId="5DBEA7F3" wp14:editId="763E0F8F">
          <wp:extent cx="2036068" cy="627889"/>
          <wp:effectExtent l="0" t="0" r="2540" b="1270"/>
          <wp:docPr id="3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T_Logo_METRIC_201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6068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BA6" w:rsidRDefault="001A673E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column">
            <wp:posOffset>4083050</wp:posOffset>
          </wp:positionH>
          <wp:positionV relativeFrom="paragraph">
            <wp:posOffset>-206045</wp:posOffset>
          </wp:positionV>
          <wp:extent cx="2091690" cy="1066800"/>
          <wp:effectExtent l="0" t="0" r="3810" b="0"/>
          <wp:wrapThrough wrapText="bothSides">
            <wp:wrapPolygon edited="0">
              <wp:start x="0" y="0"/>
              <wp:lineTo x="0" y="21214"/>
              <wp:lineTo x="21443" y="21214"/>
              <wp:lineTo x="21443" y="0"/>
              <wp:lineTo x="0" y="0"/>
            </wp:wrapPolygon>
          </wp:wrapThrough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romet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69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4BA6">
      <w:rPr>
        <w:noProof/>
        <w:lang w:val="pl-PL" w:eastAsia="pl-PL"/>
      </w:rPr>
      <w:drawing>
        <wp:inline distT="0" distB="0" distL="0" distR="0" wp14:anchorId="02154842" wp14:editId="0581CDFE">
          <wp:extent cx="2036068" cy="627889"/>
          <wp:effectExtent l="0" t="0" r="2540" b="1270"/>
          <wp:docPr id="3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T_Logo_METRIC_2017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36068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D663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86255E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6832BEA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77C0F8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0917C0C"/>
    <w:multiLevelType w:val="multilevel"/>
    <w:tmpl w:val="8460F8B0"/>
    <w:styleLink w:val="GTTableBullets"/>
    <w:lvl w:ilvl="0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 w:themeColor="background1" w:themeShade="80"/>
      </w:rPr>
    </w:lvl>
    <w:lvl w:ilvl="2">
      <w:start w:val="1"/>
      <w:numFmt w:val="bullet"/>
      <w:pStyle w:val="TableBullet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808080" w:themeColor="background1" w:themeShade="80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0"/>
      </w:pPr>
      <w:rPr>
        <w:rFonts w:hint="default"/>
      </w:rPr>
    </w:lvl>
  </w:abstractNum>
  <w:abstractNum w:abstractNumId="5" w15:restartNumberingAfterBreak="0">
    <w:nsid w:val="0B1D7F03"/>
    <w:multiLevelType w:val="multilevel"/>
    <w:tmpl w:val="DDD0FE1A"/>
    <w:styleLink w:val="GTParagraphBullet"/>
    <w:lvl w:ilvl="0">
      <w:start w:val="1"/>
      <w:numFmt w:val="bullet"/>
      <w:pStyle w:val="Paragraph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</w:abstractNum>
  <w:abstractNum w:abstractNumId="6" w15:restartNumberingAfterBreak="0">
    <w:nsid w:val="198527E3"/>
    <w:multiLevelType w:val="multilevel"/>
    <w:tmpl w:val="0D561ACA"/>
    <w:styleLink w:val="GTNumberedHeadings"/>
    <w:lvl w:ilvl="0">
      <w:start w:val="1"/>
      <w:numFmt w:val="decimal"/>
      <w:pStyle w:val="NumberedHeading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7" w15:restartNumberingAfterBreak="0">
    <w:nsid w:val="1A933704"/>
    <w:multiLevelType w:val="multilevel"/>
    <w:tmpl w:val="8460F8B0"/>
    <w:numStyleLink w:val="GTTableBullets"/>
  </w:abstractNum>
  <w:abstractNum w:abstractNumId="8" w15:restartNumberingAfterBreak="0">
    <w:nsid w:val="1C757904"/>
    <w:multiLevelType w:val="multilevel"/>
    <w:tmpl w:val="AEF68414"/>
    <w:styleLink w:val="GTTableNumbers"/>
    <w:lvl w:ilvl="0">
      <w:start w:val="1"/>
      <w:numFmt w:val="decimal"/>
      <w:pStyle w:val="Table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TableNumber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TableNumber3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31918"/>
      </w:pPr>
      <w:rPr>
        <w:rFonts w:hint="default"/>
      </w:rPr>
    </w:lvl>
  </w:abstractNum>
  <w:abstractNum w:abstractNumId="9" w15:restartNumberingAfterBreak="0">
    <w:nsid w:val="343D545A"/>
    <w:multiLevelType w:val="multilevel"/>
    <w:tmpl w:val="F81E236C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3BA976CF"/>
    <w:multiLevelType w:val="multilevel"/>
    <w:tmpl w:val="98FC98AC"/>
    <w:numStyleLink w:val="GTListNumber"/>
  </w:abstractNum>
  <w:abstractNum w:abstractNumId="11" w15:restartNumberingAfterBreak="0">
    <w:nsid w:val="52BD6E2A"/>
    <w:multiLevelType w:val="multilevel"/>
    <w:tmpl w:val="98FC98AC"/>
    <w:styleLink w:val="GTListNumber"/>
    <w:lvl w:ilvl="0">
      <w:start w:val="1"/>
      <w:numFmt w:val="decimal"/>
      <w:pStyle w:val="Listanumerowana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anumerowana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Listanumerowana3"/>
      <w:lvlText w:val="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2" w15:restartNumberingAfterBreak="0">
    <w:nsid w:val="5DDB5E6E"/>
    <w:multiLevelType w:val="multilevel"/>
    <w:tmpl w:val="CE6E0156"/>
    <w:numStyleLink w:val="GTListBullet"/>
  </w:abstractNum>
  <w:abstractNum w:abstractNumId="13" w15:restartNumberingAfterBreak="0">
    <w:nsid w:val="61BC3D3D"/>
    <w:multiLevelType w:val="multilevel"/>
    <w:tmpl w:val="CE6E0156"/>
    <w:styleLink w:val="GTListBullet"/>
    <w:lvl w:ilvl="0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apunktowana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Listapunktowan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4" w15:restartNumberingAfterBreak="0">
    <w:nsid w:val="7F924C95"/>
    <w:multiLevelType w:val="multilevel"/>
    <w:tmpl w:val="0D561ACA"/>
    <w:numStyleLink w:val="GTNumberedHeadings"/>
  </w:abstractNum>
  <w:num w:numId="1">
    <w:abstractNumId w:val="13"/>
  </w:num>
  <w:num w:numId="2">
    <w:abstractNumId w:val="11"/>
  </w:num>
  <w:num w:numId="3">
    <w:abstractNumId w:val="6"/>
  </w:num>
  <w:num w:numId="4">
    <w:abstractNumId w:val="5"/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8"/>
  </w:num>
  <w:num w:numId="13">
    <w:abstractNumId w:val="7"/>
  </w:num>
  <w:num w:numId="14">
    <w:abstractNumId w:val="8"/>
  </w:num>
  <w:num w:numId="15">
    <w:abstractNumId w:val="14"/>
  </w:num>
  <w:num w:numId="16">
    <w:abstractNumId w:val="10"/>
  </w:num>
  <w:num w:numId="1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C2NDe3NDI2NbYwMjBR0lEKTi0uzszPAykwqQUA3E9oUywAAAA="/>
    <w:docVar w:name="dv_confidentiality" w:val="© 2011 Grant Thornton International Ltd. All rights reserved."/>
    <w:docVar w:name="dv_logo_file" w:val="GTlogo-RGB-135.jpg"/>
    <w:docVar w:name="dv_logo2_file" w:val="GTlogo-RGB9mm.jpg"/>
    <w:docVar w:name="dv_page_header" w:val="Header"/>
    <w:docVar w:name="dv_partners" w:val="false"/>
    <w:docVar w:name="dv_select_office" w:val="TRUE"/>
    <w:docVar w:name="dv_senders_designation" w:val="For Grant Thornton International"/>
    <w:docVar w:name="dv_statement" w:val="© 2011 Grant Thornton International Ltd. All rights reserved."/>
    <w:docVar w:name="dv_trad_addr" w:val="Address Line 1_x000d__x000a_Address Line 2_x000d__x000a_Address Line 3_x000d__x000a_Address Line 4"/>
    <w:docVar w:name="dv_trad_fax" w:val="+XX (X)XX XXX XXXX"/>
    <w:docVar w:name="dv_trad_name" w:val="Trading Name"/>
    <w:docVar w:name="dv_trad_tel" w:val="+XX (X)XX XXX XXXX"/>
    <w:docVar w:name="dv_trad_web" w:val="www.gti.org"/>
  </w:docVars>
  <w:rsids>
    <w:rsidRoot w:val="007A5040"/>
    <w:rsid w:val="00013749"/>
    <w:rsid w:val="0001412C"/>
    <w:rsid w:val="00047137"/>
    <w:rsid w:val="00067FBE"/>
    <w:rsid w:val="0007363B"/>
    <w:rsid w:val="0007494B"/>
    <w:rsid w:val="00075825"/>
    <w:rsid w:val="0007794F"/>
    <w:rsid w:val="000A2985"/>
    <w:rsid w:val="000A4DFB"/>
    <w:rsid w:val="000A5471"/>
    <w:rsid w:val="000B2B17"/>
    <w:rsid w:val="000D61DD"/>
    <w:rsid w:val="000F150C"/>
    <w:rsid w:val="00122C4D"/>
    <w:rsid w:val="001327E5"/>
    <w:rsid w:val="001347BC"/>
    <w:rsid w:val="001366D0"/>
    <w:rsid w:val="00143EB2"/>
    <w:rsid w:val="00152A73"/>
    <w:rsid w:val="001558F7"/>
    <w:rsid w:val="0015731C"/>
    <w:rsid w:val="00160746"/>
    <w:rsid w:val="00167CAC"/>
    <w:rsid w:val="0017467E"/>
    <w:rsid w:val="00181F25"/>
    <w:rsid w:val="0018286E"/>
    <w:rsid w:val="00187A66"/>
    <w:rsid w:val="00192CE7"/>
    <w:rsid w:val="00197471"/>
    <w:rsid w:val="0019793F"/>
    <w:rsid w:val="001A673E"/>
    <w:rsid w:val="001A7C86"/>
    <w:rsid w:val="001B485F"/>
    <w:rsid w:val="001B6557"/>
    <w:rsid w:val="001C6783"/>
    <w:rsid w:val="001D5D48"/>
    <w:rsid w:val="001E7FFB"/>
    <w:rsid w:val="001F10E0"/>
    <w:rsid w:val="001F1AF0"/>
    <w:rsid w:val="00205F8C"/>
    <w:rsid w:val="0021621D"/>
    <w:rsid w:val="00223C38"/>
    <w:rsid w:val="00232894"/>
    <w:rsid w:val="00237BD1"/>
    <w:rsid w:val="00240935"/>
    <w:rsid w:val="0025205B"/>
    <w:rsid w:val="00254B3A"/>
    <w:rsid w:val="002578FF"/>
    <w:rsid w:val="00262326"/>
    <w:rsid w:val="0026290B"/>
    <w:rsid w:val="00263263"/>
    <w:rsid w:val="002D2DC5"/>
    <w:rsid w:val="002E2B91"/>
    <w:rsid w:val="002F0D72"/>
    <w:rsid w:val="002F1925"/>
    <w:rsid w:val="002F2027"/>
    <w:rsid w:val="00300833"/>
    <w:rsid w:val="0030218D"/>
    <w:rsid w:val="003151A5"/>
    <w:rsid w:val="00324537"/>
    <w:rsid w:val="003462D8"/>
    <w:rsid w:val="003551D7"/>
    <w:rsid w:val="003552AB"/>
    <w:rsid w:val="00355E7D"/>
    <w:rsid w:val="00364323"/>
    <w:rsid w:val="003704CE"/>
    <w:rsid w:val="003720FC"/>
    <w:rsid w:val="003762FC"/>
    <w:rsid w:val="00387F2F"/>
    <w:rsid w:val="00390019"/>
    <w:rsid w:val="00390DED"/>
    <w:rsid w:val="0039219D"/>
    <w:rsid w:val="00393B9F"/>
    <w:rsid w:val="003B550A"/>
    <w:rsid w:val="003B5657"/>
    <w:rsid w:val="003C13F1"/>
    <w:rsid w:val="003D6ABF"/>
    <w:rsid w:val="00400DFB"/>
    <w:rsid w:val="00401CB2"/>
    <w:rsid w:val="00407FBE"/>
    <w:rsid w:val="0041190D"/>
    <w:rsid w:val="00425244"/>
    <w:rsid w:val="00435EA1"/>
    <w:rsid w:val="00441D97"/>
    <w:rsid w:val="00462B97"/>
    <w:rsid w:val="00471150"/>
    <w:rsid w:val="00476FEE"/>
    <w:rsid w:val="00481F79"/>
    <w:rsid w:val="004878F3"/>
    <w:rsid w:val="004939BE"/>
    <w:rsid w:val="004952F5"/>
    <w:rsid w:val="004A652A"/>
    <w:rsid w:val="004A7137"/>
    <w:rsid w:val="004C10AD"/>
    <w:rsid w:val="004C1FE9"/>
    <w:rsid w:val="004D1EB2"/>
    <w:rsid w:val="004E3A82"/>
    <w:rsid w:val="004E5F46"/>
    <w:rsid w:val="004F6078"/>
    <w:rsid w:val="0050322F"/>
    <w:rsid w:val="00513853"/>
    <w:rsid w:val="0051765E"/>
    <w:rsid w:val="00520717"/>
    <w:rsid w:val="0052705B"/>
    <w:rsid w:val="00532DDE"/>
    <w:rsid w:val="00543A03"/>
    <w:rsid w:val="00553170"/>
    <w:rsid w:val="005663FE"/>
    <w:rsid w:val="00576254"/>
    <w:rsid w:val="005773A1"/>
    <w:rsid w:val="00585D4B"/>
    <w:rsid w:val="005A066F"/>
    <w:rsid w:val="005B65D4"/>
    <w:rsid w:val="005B7A11"/>
    <w:rsid w:val="005C1C5A"/>
    <w:rsid w:val="005C23C4"/>
    <w:rsid w:val="005C2C73"/>
    <w:rsid w:val="005C539F"/>
    <w:rsid w:val="005C6CDE"/>
    <w:rsid w:val="005D2417"/>
    <w:rsid w:val="005E25CB"/>
    <w:rsid w:val="005E6FCA"/>
    <w:rsid w:val="005F7C6B"/>
    <w:rsid w:val="00617718"/>
    <w:rsid w:val="0063081E"/>
    <w:rsid w:val="006311B1"/>
    <w:rsid w:val="00634500"/>
    <w:rsid w:val="0064317C"/>
    <w:rsid w:val="0065033C"/>
    <w:rsid w:val="006667B7"/>
    <w:rsid w:val="006805D5"/>
    <w:rsid w:val="006806FD"/>
    <w:rsid w:val="006909F2"/>
    <w:rsid w:val="006C286D"/>
    <w:rsid w:val="006C3454"/>
    <w:rsid w:val="006D4904"/>
    <w:rsid w:val="006D70B5"/>
    <w:rsid w:val="006E232D"/>
    <w:rsid w:val="006E3473"/>
    <w:rsid w:val="006E7DF0"/>
    <w:rsid w:val="006F6F69"/>
    <w:rsid w:val="00715888"/>
    <w:rsid w:val="00723D28"/>
    <w:rsid w:val="0073028A"/>
    <w:rsid w:val="00733C42"/>
    <w:rsid w:val="00743216"/>
    <w:rsid w:val="00750CCB"/>
    <w:rsid w:val="007639D8"/>
    <w:rsid w:val="00775A42"/>
    <w:rsid w:val="00776338"/>
    <w:rsid w:val="00786789"/>
    <w:rsid w:val="007A3144"/>
    <w:rsid w:val="007A5040"/>
    <w:rsid w:val="007B041F"/>
    <w:rsid w:val="007B1BB2"/>
    <w:rsid w:val="007B3A33"/>
    <w:rsid w:val="007B67FC"/>
    <w:rsid w:val="007D0128"/>
    <w:rsid w:val="007D0274"/>
    <w:rsid w:val="007D28B8"/>
    <w:rsid w:val="007D5956"/>
    <w:rsid w:val="007F406D"/>
    <w:rsid w:val="007F4D9A"/>
    <w:rsid w:val="007F58F4"/>
    <w:rsid w:val="008012A2"/>
    <w:rsid w:val="00801676"/>
    <w:rsid w:val="00815CCE"/>
    <w:rsid w:val="00816EEF"/>
    <w:rsid w:val="008204EB"/>
    <w:rsid w:val="0083039F"/>
    <w:rsid w:val="00837726"/>
    <w:rsid w:val="00840490"/>
    <w:rsid w:val="008404BE"/>
    <w:rsid w:val="00854F3E"/>
    <w:rsid w:val="008645CA"/>
    <w:rsid w:val="008645E8"/>
    <w:rsid w:val="008830CE"/>
    <w:rsid w:val="00887334"/>
    <w:rsid w:val="0089338D"/>
    <w:rsid w:val="00893520"/>
    <w:rsid w:val="00893B08"/>
    <w:rsid w:val="00895CF7"/>
    <w:rsid w:val="008A1CD0"/>
    <w:rsid w:val="008A5EEE"/>
    <w:rsid w:val="008A7F45"/>
    <w:rsid w:val="008B2749"/>
    <w:rsid w:val="008C4D0D"/>
    <w:rsid w:val="008D3A88"/>
    <w:rsid w:val="008E3B80"/>
    <w:rsid w:val="008E582E"/>
    <w:rsid w:val="00907933"/>
    <w:rsid w:val="00921B25"/>
    <w:rsid w:val="00923A87"/>
    <w:rsid w:val="0093057B"/>
    <w:rsid w:val="00934090"/>
    <w:rsid w:val="009433FC"/>
    <w:rsid w:val="00947FA4"/>
    <w:rsid w:val="00952FCA"/>
    <w:rsid w:val="00956405"/>
    <w:rsid w:val="009623AD"/>
    <w:rsid w:val="00966490"/>
    <w:rsid w:val="009826CB"/>
    <w:rsid w:val="00990285"/>
    <w:rsid w:val="00991F23"/>
    <w:rsid w:val="00994A39"/>
    <w:rsid w:val="00994ECE"/>
    <w:rsid w:val="009A0405"/>
    <w:rsid w:val="009A5CCB"/>
    <w:rsid w:val="009A722E"/>
    <w:rsid w:val="009B7E3F"/>
    <w:rsid w:val="009C006A"/>
    <w:rsid w:val="009C3FA4"/>
    <w:rsid w:val="009E53E7"/>
    <w:rsid w:val="009E6A78"/>
    <w:rsid w:val="009F5EF5"/>
    <w:rsid w:val="009F7EC2"/>
    <w:rsid w:val="00A41E8A"/>
    <w:rsid w:val="00A4316A"/>
    <w:rsid w:val="00A45B6F"/>
    <w:rsid w:val="00A51555"/>
    <w:rsid w:val="00A54401"/>
    <w:rsid w:val="00A73FF9"/>
    <w:rsid w:val="00AA3C3B"/>
    <w:rsid w:val="00AD076E"/>
    <w:rsid w:val="00AD46BC"/>
    <w:rsid w:val="00AD47ED"/>
    <w:rsid w:val="00AE4B96"/>
    <w:rsid w:val="00AF220D"/>
    <w:rsid w:val="00AF2F43"/>
    <w:rsid w:val="00AF3659"/>
    <w:rsid w:val="00B04BC4"/>
    <w:rsid w:val="00B068EC"/>
    <w:rsid w:val="00B1118C"/>
    <w:rsid w:val="00B2432B"/>
    <w:rsid w:val="00B3098B"/>
    <w:rsid w:val="00B30B06"/>
    <w:rsid w:val="00B32531"/>
    <w:rsid w:val="00B47FD9"/>
    <w:rsid w:val="00B51315"/>
    <w:rsid w:val="00B57ADB"/>
    <w:rsid w:val="00B7721E"/>
    <w:rsid w:val="00B8501D"/>
    <w:rsid w:val="00B904FE"/>
    <w:rsid w:val="00B93D83"/>
    <w:rsid w:val="00BB4622"/>
    <w:rsid w:val="00BB5787"/>
    <w:rsid w:val="00BD4D0B"/>
    <w:rsid w:val="00BE06BE"/>
    <w:rsid w:val="00BE2AF3"/>
    <w:rsid w:val="00BE6A55"/>
    <w:rsid w:val="00BE7717"/>
    <w:rsid w:val="00BF5AC3"/>
    <w:rsid w:val="00C1089A"/>
    <w:rsid w:val="00C13A94"/>
    <w:rsid w:val="00C14BA6"/>
    <w:rsid w:val="00C20B37"/>
    <w:rsid w:val="00C31F78"/>
    <w:rsid w:val="00C40A43"/>
    <w:rsid w:val="00C42A61"/>
    <w:rsid w:val="00C4637C"/>
    <w:rsid w:val="00C5041B"/>
    <w:rsid w:val="00C655EE"/>
    <w:rsid w:val="00C70BCF"/>
    <w:rsid w:val="00C7575E"/>
    <w:rsid w:val="00C77D03"/>
    <w:rsid w:val="00C9044B"/>
    <w:rsid w:val="00C94ED7"/>
    <w:rsid w:val="00CA7B49"/>
    <w:rsid w:val="00CB29C3"/>
    <w:rsid w:val="00CB3FF7"/>
    <w:rsid w:val="00CB6C00"/>
    <w:rsid w:val="00CC2C31"/>
    <w:rsid w:val="00CD0945"/>
    <w:rsid w:val="00CD1174"/>
    <w:rsid w:val="00CD2293"/>
    <w:rsid w:val="00CD2462"/>
    <w:rsid w:val="00CD4E39"/>
    <w:rsid w:val="00CD55D0"/>
    <w:rsid w:val="00CD7DC9"/>
    <w:rsid w:val="00CE09A5"/>
    <w:rsid w:val="00CE58E1"/>
    <w:rsid w:val="00CF2550"/>
    <w:rsid w:val="00CF4BA0"/>
    <w:rsid w:val="00D03287"/>
    <w:rsid w:val="00D0541F"/>
    <w:rsid w:val="00D40003"/>
    <w:rsid w:val="00D47D0B"/>
    <w:rsid w:val="00D528B9"/>
    <w:rsid w:val="00D53953"/>
    <w:rsid w:val="00D61AD0"/>
    <w:rsid w:val="00D63DA3"/>
    <w:rsid w:val="00D65105"/>
    <w:rsid w:val="00D7394A"/>
    <w:rsid w:val="00D77FE8"/>
    <w:rsid w:val="00D875F6"/>
    <w:rsid w:val="00D91835"/>
    <w:rsid w:val="00D93691"/>
    <w:rsid w:val="00D9608F"/>
    <w:rsid w:val="00DB5FA3"/>
    <w:rsid w:val="00DD1D27"/>
    <w:rsid w:val="00DD1DB7"/>
    <w:rsid w:val="00DE0967"/>
    <w:rsid w:val="00DE4E2E"/>
    <w:rsid w:val="00DF0645"/>
    <w:rsid w:val="00DF0D56"/>
    <w:rsid w:val="00DF6F8B"/>
    <w:rsid w:val="00DF7158"/>
    <w:rsid w:val="00E14093"/>
    <w:rsid w:val="00E23FAF"/>
    <w:rsid w:val="00E30934"/>
    <w:rsid w:val="00E50D26"/>
    <w:rsid w:val="00E54014"/>
    <w:rsid w:val="00E547B4"/>
    <w:rsid w:val="00E67B14"/>
    <w:rsid w:val="00E74E1F"/>
    <w:rsid w:val="00E9189D"/>
    <w:rsid w:val="00E932BE"/>
    <w:rsid w:val="00E95DDB"/>
    <w:rsid w:val="00EA6719"/>
    <w:rsid w:val="00EB57D0"/>
    <w:rsid w:val="00EB640F"/>
    <w:rsid w:val="00EC470D"/>
    <w:rsid w:val="00EE0AEF"/>
    <w:rsid w:val="00EF265F"/>
    <w:rsid w:val="00EF3B59"/>
    <w:rsid w:val="00F02456"/>
    <w:rsid w:val="00F10E4E"/>
    <w:rsid w:val="00F14981"/>
    <w:rsid w:val="00F20D77"/>
    <w:rsid w:val="00F451C8"/>
    <w:rsid w:val="00F469D3"/>
    <w:rsid w:val="00F54DE6"/>
    <w:rsid w:val="00F567A9"/>
    <w:rsid w:val="00F57864"/>
    <w:rsid w:val="00F62BF3"/>
    <w:rsid w:val="00F65A78"/>
    <w:rsid w:val="00F707A6"/>
    <w:rsid w:val="00F721CC"/>
    <w:rsid w:val="00F77E6C"/>
    <w:rsid w:val="00F81766"/>
    <w:rsid w:val="00F82369"/>
    <w:rsid w:val="00F8639A"/>
    <w:rsid w:val="00FA0071"/>
    <w:rsid w:val="00FA0F35"/>
    <w:rsid w:val="00FB0930"/>
    <w:rsid w:val="00FB0BDF"/>
    <w:rsid w:val="00FC1E0B"/>
    <w:rsid w:val="00FE59D4"/>
    <w:rsid w:val="00FF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674619"/>
  <w15:docId w15:val="{4DA2F84F-BEAE-4475-A197-AA9B533A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uiPriority="9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iPriority="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" w:unhideWhenUsed="1" w:qFormat="1"/>
    <w:lsdException w:name="List Number" w:uiPriority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uiPriority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uiPriority="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uiPriority w:val="9"/>
    <w:rsid w:val="00F54DE6"/>
    <w:pPr>
      <w:spacing w:after="120" w:line="240" w:lineRule="atLeast"/>
    </w:pPr>
    <w:rPr>
      <w:rFonts w:asciiTheme="minorHAnsi" w:hAnsiTheme="minorHAnsi" w:cs="Arial"/>
      <w:sz w:val="18"/>
      <w:lang w:val="en-GB"/>
    </w:rPr>
  </w:style>
  <w:style w:type="paragraph" w:styleId="Nagwek1">
    <w:name w:val="heading 1"/>
    <w:basedOn w:val="Normalny"/>
    <w:next w:val="Tekstpodstawowy"/>
    <w:link w:val="Nagwek1Znak"/>
    <w:qFormat/>
    <w:rsid w:val="0015731C"/>
    <w:pPr>
      <w:keepNext/>
      <w:spacing w:before="240" w:line="400" w:lineRule="exact"/>
      <w:outlineLvl w:val="0"/>
    </w:pPr>
    <w:rPr>
      <w:rFonts w:asciiTheme="majorHAnsi" w:hAnsiTheme="majorHAnsi" w:cstheme="majorHAnsi"/>
      <w:bCs/>
      <w:color w:val="4F2D7F" w:themeColor="accent1"/>
      <w:kern w:val="32"/>
      <w:sz w:val="36"/>
      <w:szCs w:val="28"/>
    </w:rPr>
  </w:style>
  <w:style w:type="paragraph" w:styleId="Nagwek2">
    <w:name w:val="heading 2"/>
    <w:basedOn w:val="Nagwek1"/>
    <w:next w:val="Tekstpodstawowy"/>
    <w:link w:val="Nagwek2Znak"/>
    <w:qFormat/>
    <w:rsid w:val="0015731C"/>
    <w:pPr>
      <w:spacing w:line="320" w:lineRule="exact"/>
      <w:outlineLvl w:val="1"/>
    </w:pPr>
    <w:rPr>
      <w:bCs w:val="0"/>
      <w:sz w:val="26"/>
      <w:szCs w:val="19"/>
    </w:rPr>
  </w:style>
  <w:style w:type="paragraph" w:styleId="Nagwek3">
    <w:name w:val="heading 3"/>
    <w:basedOn w:val="Nagwek2"/>
    <w:next w:val="Tekstpodstawowy"/>
    <w:link w:val="Nagwek3Znak"/>
    <w:qFormat/>
    <w:rsid w:val="00B04BC4"/>
    <w:pPr>
      <w:spacing w:line="240" w:lineRule="atLeast"/>
      <w:outlineLvl w:val="2"/>
    </w:pPr>
    <w:rPr>
      <w:rFonts w:asciiTheme="minorHAnsi" w:hAnsiTheme="minorHAnsi" w:cstheme="minorHAnsi"/>
      <w:b/>
      <w:bCs/>
      <w:sz w:val="19"/>
      <w:szCs w:val="18"/>
    </w:rPr>
  </w:style>
  <w:style w:type="paragraph" w:styleId="Nagwek4">
    <w:name w:val="heading 4"/>
    <w:basedOn w:val="Nagwek3"/>
    <w:next w:val="Tekstpodstawowy"/>
    <w:link w:val="Nagwek4Znak"/>
    <w:qFormat/>
    <w:rsid w:val="0015731C"/>
    <w:pPr>
      <w:outlineLvl w:val="3"/>
    </w:pPr>
    <w:rPr>
      <w:b w:val="0"/>
      <w:bCs w:val="0"/>
      <w:sz w:val="18"/>
    </w:rPr>
  </w:style>
  <w:style w:type="paragraph" w:styleId="Nagwek5">
    <w:name w:val="heading 5"/>
    <w:basedOn w:val="Normalny"/>
    <w:next w:val="Normalny"/>
    <w:semiHidden/>
    <w:qFormat/>
    <w:rsid w:val="00B04BC4"/>
    <w:pPr>
      <w:numPr>
        <w:ilvl w:val="4"/>
        <w:numId w:val="5"/>
      </w:numPr>
      <w:spacing w:before="240"/>
      <w:outlineLvl w:val="4"/>
    </w:pPr>
    <w:rPr>
      <w:b/>
      <w:bCs/>
      <w:i/>
      <w:iCs/>
      <w:sz w:val="24"/>
      <w:szCs w:val="26"/>
    </w:rPr>
  </w:style>
  <w:style w:type="paragraph" w:styleId="Nagwek6">
    <w:name w:val="heading 6"/>
    <w:basedOn w:val="Normalny"/>
    <w:next w:val="Normalny"/>
    <w:semiHidden/>
    <w:qFormat/>
    <w:rsid w:val="00B04BC4"/>
    <w:pPr>
      <w:numPr>
        <w:ilvl w:val="5"/>
        <w:numId w:val="5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7">
    <w:name w:val="heading 7"/>
    <w:basedOn w:val="Normalny"/>
    <w:next w:val="Normalny"/>
    <w:semiHidden/>
    <w:qFormat/>
    <w:rsid w:val="00B04BC4"/>
    <w:pPr>
      <w:numPr>
        <w:ilvl w:val="6"/>
        <w:numId w:val="5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semiHidden/>
    <w:qFormat/>
    <w:rsid w:val="00B04BC4"/>
    <w:pPr>
      <w:numPr>
        <w:ilvl w:val="7"/>
        <w:numId w:val="5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semiHidden/>
    <w:qFormat/>
    <w:rsid w:val="00B04BC4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15731C"/>
  </w:style>
  <w:style w:type="paragraph" w:styleId="Listapunktowana">
    <w:name w:val="List Bullet"/>
    <w:basedOn w:val="Normalny"/>
    <w:link w:val="ListapunktowanaZnak"/>
    <w:uiPriority w:val="1"/>
    <w:qFormat/>
    <w:rsid w:val="00364323"/>
    <w:pPr>
      <w:numPr>
        <w:numId w:val="17"/>
      </w:numPr>
    </w:pPr>
    <w:rPr>
      <w:lang w:val="pl-PL"/>
    </w:rPr>
  </w:style>
  <w:style w:type="paragraph" w:styleId="Listanumerowana">
    <w:name w:val="List Number"/>
    <w:basedOn w:val="Normalny"/>
    <w:uiPriority w:val="1"/>
    <w:qFormat/>
    <w:rsid w:val="0021621D"/>
    <w:pPr>
      <w:numPr>
        <w:numId w:val="16"/>
      </w:numPr>
    </w:pPr>
    <w:rPr>
      <w:lang w:val="pl-PL"/>
    </w:rPr>
  </w:style>
  <w:style w:type="paragraph" w:styleId="Nagwek">
    <w:name w:val="header"/>
    <w:semiHidden/>
    <w:rsid w:val="00B04BC4"/>
    <w:pPr>
      <w:tabs>
        <w:tab w:val="right" w:pos="8562"/>
      </w:tabs>
    </w:pPr>
    <w:rPr>
      <w:rFonts w:asciiTheme="minorHAnsi" w:hAnsiTheme="minorHAnsi" w:cs="Arial"/>
      <w:b/>
      <w:color w:val="747678" w:themeColor="background2"/>
      <w:sz w:val="16"/>
    </w:rPr>
  </w:style>
  <w:style w:type="paragraph" w:styleId="Stopka">
    <w:name w:val="footer"/>
    <w:link w:val="StopkaZnak"/>
    <w:uiPriority w:val="9"/>
    <w:semiHidden/>
    <w:rsid w:val="000D61DD"/>
    <w:pPr>
      <w:jc w:val="right"/>
    </w:pPr>
    <w:rPr>
      <w:rFonts w:asciiTheme="minorHAnsi" w:hAnsiTheme="minorHAnsi" w:cstheme="minorHAnsi"/>
      <w:color w:val="747678" w:themeColor="background2"/>
      <w:sz w:val="12"/>
      <w:szCs w:val="16"/>
    </w:rPr>
  </w:style>
  <w:style w:type="character" w:customStyle="1" w:styleId="ReportColour">
    <w:name w:val="Report Colour"/>
    <w:basedOn w:val="Domylnaczcionkaakapitu"/>
    <w:rsid w:val="005A066F"/>
    <w:rPr>
      <w:color w:val="4F2D7F" w:themeColor="accent1"/>
      <w:lang w:val="en-US"/>
    </w:rPr>
  </w:style>
  <w:style w:type="paragraph" w:customStyle="1" w:styleId="AppendixTitle">
    <w:name w:val="Appendix Title"/>
    <w:basedOn w:val="Normalny"/>
    <w:next w:val="Tekstpodstawowy"/>
    <w:rsid w:val="00990285"/>
    <w:pPr>
      <w:pageBreakBefore/>
      <w:framePr w:w="8630" w:wrap="around" w:vAnchor="page" w:hAnchor="text" w:y="1419" w:anchorLock="1"/>
      <w:spacing w:line="800" w:lineRule="exact"/>
    </w:pPr>
    <w:rPr>
      <w:rFonts w:asciiTheme="majorHAnsi" w:hAnsiTheme="majorHAnsi" w:cstheme="majorHAnsi"/>
      <w:bCs/>
      <w:color w:val="4F2D7F" w:themeColor="accent1"/>
      <w:kern w:val="28"/>
      <w:sz w:val="72"/>
      <w:szCs w:val="32"/>
    </w:rPr>
  </w:style>
  <w:style w:type="paragraph" w:styleId="Tytu">
    <w:name w:val="Title"/>
    <w:basedOn w:val="Normalny"/>
    <w:next w:val="Tekstpodstawowy"/>
    <w:uiPriority w:val="1"/>
    <w:qFormat/>
    <w:rsid w:val="0021621D"/>
    <w:pPr>
      <w:spacing w:after="360" w:line="800" w:lineRule="exact"/>
      <w:outlineLvl w:val="0"/>
    </w:pPr>
    <w:rPr>
      <w:rFonts w:asciiTheme="majorHAnsi" w:hAnsiTheme="majorHAnsi" w:cstheme="majorHAnsi"/>
      <w:b/>
      <w:bCs/>
      <w:color w:val="4F2D7F" w:themeColor="accent1"/>
      <w:kern w:val="28"/>
      <w:sz w:val="72"/>
      <w:szCs w:val="32"/>
      <w:lang w:val="pl-PL"/>
    </w:rPr>
  </w:style>
  <w:style w:type="paragraph" w:styleId="Podtytu">
    <w:name w:val="Subtitle"/>
    <w:uiPriority w:val="9"/>
    <w:rsid w:val="00B04BC4"/>
    <w:pPr>
      <w:spacing w:after="840" w:line="280" w:lineRule="atLeast"/>
      <w:outlineLvl w:val="1"/>
    </w:pPr>
    <w:rPr>
      <w:rFonts w:asciiTheme="majorHAnsi" w:hAnsiTheme="majorHAnsi" w:cs="Arial"/>
      <w:bCs/>
      <w:color w:val="747678" w:themeColor="background2"/>
      <w:kern w:val="28"/>
      <w:sz w:val="36"/>
      <w:szCs w:val="24"/>
    </w:rPr>
  </w:style>
  <w:style w:type="paragraph" w:styleId="Listapunktowana2">
    <w:name w:val="List Bullet 2"/>
    <w:basedOn w:val="Normalny"/>
    <w:uiPriority w:val="1"/>
    <w:qFormat/>
    <w:rsid w:val="00364323"/>
    <w:pPr>
      <w:numPr>
        <w:ilvl w:val="1"/>
        <w:numId w:val="17"/>
      </w:numPr>
    </w:pPr>
  </w:style>
  <w:style w:type="paragraph" w:styleId="Listanumerowana2">
    <w:name w:val="List Number 2"/>
    <w:basedOn w:val="Normalny"/>
    <w:uiPriority w:val="1"/>
    <w:qFormat/>
    <w:rsid w:val="0021621D"/>
    <w:pPr>
      <w:numPr>
        <w:ilvl w:val="1"/>
        <w:numId w:val="16"/>
      </w:numPr>
    </w:pPr>
    <w:rPr>
      <w:lang w:val="pl-PL"/>
    </w:rPr>
  </w:style>
  <w:style w:type="paragraph" w:styleId="Listanumerowana3">
    <w:name w:val="List Number 3"/>
    <w:basedOn w:val="Normalny"/>
    <w:uiPriority w:val="1"/>
    <w:qFormat/>
    <w:rsid w:val="0021621D"/>
    <w:pPr>
      <w:numPr>
        <w:ilvl w:val="2"/>
        <w:numId w:val="16"/>
      </w:numPr>
    </w:pPr>
    <w:rPr>
      <w:lang w:val="pl-PL"/>
    </w:rPr>
  </w:style>
  <w:style w:type="paragraph" w:customStyle="1" w:styleId="MarginNotes">
    <w:name w:val="Margin Notes"/>
    <w:semiHidden/>
    <w:rsid w:val="00B04BC4"/>
    <w:rPr>
      <w:rFonts w:asciiTheme="minorHAnsi" w:hAnsiTheme="minorHAnsi" w:cs="Arial"/>
      <w:sz w:val="16"/>
    </w:rPr>
  </w:style>
  <w:style w:type="paragraph" w:customStyle="1" w:styleId="SectionTitle">
    <w:name w:val="Section Title"/>
    <w:next w:val="Tekstpodstawowy"/>
    <w:rsid w:val="00990285"/>
    <w:pPr>
      <w:pageBreakBefore/>
      <w:framePr w:w="8630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TableHeading">
    <w:name w:val="Table Heading"/>
    <w:uiPriority w:val="2"/>
    <w:qFormat/>
    <w:rsid w:val="00364323"/>
    <w:pPr>
      <w:spacing w:before="60" w:after="60"/>
    </w:pPr>
    <w:rPr>
      <w:rFonts w:asciiTheme="minorHAnsi" w:hAnsiTheme="minorHAnsi" w:cs="Arial"/>
      <w:b/>
      <w:bCs/>
      <w:kern w:val="28"/>
      <w:sz w:val="16"/>
      <w:szCs w:val="32"/>
      <w:lang w:val="pl-PL"/>
    </w:rPr>
  </w:style>
  <w:style w:type="paragraph" w:customStyle="1" w:styleId="TableText">
    <w:name w:val="Table Text"/>
    <w:uiPriority w:val="2"/>
    <w:qFormat/>
    <w:rsid w:val="00364323"/>
    <w:pPr>
      <w:spacing w:before="60" w:after="60"/>
    </w:pPr>
    <w:rPr>
      <w:rFonts w:asciiTheme="minorHAnsi" w:hAnsiTheme="minorHAnsi" w:cs="Arial"/>
      <w:sz w:val="16"/>
    </w:rPr>
  </w:style>
  <w:style w:type="paragraph" w:customStyle="1" w:styleId="TintBoxTextBlack">
    <w:name w:val="Tint Box Text Black"/>
    <w:semiHidden/>
    <w:rsid w:val="00B04BC4"/>
    <w:pPr>
      <w:spacing w:after="240" w:line="240" w:lineRule="atLeast"/>
    </w:pPr>
    <w:rPr>
      <w:rFonts w:asciiTheme="minorHAnsi" w:hAnsiTheme="minorHAnsi" w:cs="Arial"/>
      <w:b/>
      <w:sz w:val="18"/>
    </w:rPr>
  </w:style>
  <w:style w:type="paragraph" w:customStyle="1" w:styleId="TintBoxTextWhite">
    <w:name w:val="Tint Box Text White"/>
    <w:basedOn w:val="TintBoxTextBlack"/>
    <w:semiHidden/>
    <w:rsid w:val="00B04BC4"/>
    <w:rPr>
      <w:color w:val="FFFFFF"/>
    </w:rPr>
  </w:style>
  <w:style w:type="paragraph" w:styleId="Spistreci1">
    <w:name w:val="toc 1"/>
    <w:next w:val="Normalny"/>
    <w:uiPriority w:val="39"/>
    <w:rsid w:val="00B04BC4"/>
    <w:pPr>
      <w:tabs>
        <w:tab w:val="right" w:pos="8505"/>
      </w:tabs>
      <w:spacing w:before="120" w:after="120" w:line="240" w:lineRule="atLeast"/>
    </w:pPr>
    <w:rPr>
      <w:rFonts w:asciiTheme="minorHAnsi" w:hAnsiTheme="minorHAnsi" w:cs="Arial"/>
      <w:sz w:val="18"/>
    </w:rPr>
  </w:style>
  <w:style w:type="paragraph" w:styleId="Spistreci2">
    <w:name w:val="toc 2"/>
    <w:next w:val="Normalny"/>
    <w:semiHidden/>
    <w:rsid w:val="00B04BC4"/>
    <w:pPr>
      <w:tabs>
        <w:tab w:val="right" w:pos="8363"/>
      </w:tabs>
      <w:spacing w:after="120" w:line="240" w:lineRule="atLeast"/>
      <w:ind w:left="198"/>
    </w:pPr>
    <w:rPr>
      <w:rFonts w:asciiTheme="minorHAnsi" w:hAnsiTheme="minorHAnsi" w:cs="Arial"/>
      <w:sz w:val="18"/>
      <w:szCs w:val="24"/>
    </w:rPr>
  </w:style>
  <w:style w:type="paragraph" w:styleId="Spistreci3">
    <w:name w:val="toc 3"/>
    <w:basedOn w:val="Spistreci2"/>
    <w:next w:val="Normalny"/>
    <w:semiHidden/>
    <w:rsid w:val="00B04BC4"/>
    <w:pPr>
      <w:ind w:left="403"/>
    </w:pPr>
  </w:style>
  <w:style w:type="paragraph" w:customStyle="1" w:styleId="Contents">
    <w:name w:val="Contents"/>
    <w:next w:val="Normalny"/>
    <w:uiPriority w:val="9"/>
    <w:unhideWhenUsed/>
    <w:rsid w:val="00B04BC4"/>
    <w:pPr>
      <w:framePr w:w="8629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</w:rPr>
  </w:style>
  <w:style w:type="character" w:styleId="Numerstrony">
    <w:name w:val="page number"/>
    <w:basedOn w:val="Domylnaczcionkaakapitu"/>
    <w:semiHidden/>
    <w:rsid w:val="00B04BC4"/>
    <w:rPr>
      <w:rFonts w:asciiTheme="minorHAnsi" w:hAnsiTheme="minorHAnsi"/>
      <w:lang w:val="en-US"/>
    </w:rPr>
  </w:style>
  <w:style w:type="paragraph" w:customStyle="1" w:styleId="ChapterTitle">
    <w:name w:val="Chapter Title"/>
    <w:basedOn w:val="Podtytu"/>
    <w:uiPriority w:val="9"/>
    <w:semiHidden/>
    <w:rsid w:val="00B04BC4"/>
    <w:pPr>
      <w:pBdr>
        <w:bottom w:val="single" w:sz="4" w:space="5" w:color="auto"/>
      </w:pBdr>
      <w:spacing w:after="720" w:line="240" w:lineRule="atLeast"/>
    </w:pPr>
    <w:rPr>
      <w:sz w:val="18"/>
    </w:rPr>
  </w:style>
  <w:style w:type="paragraph" w:customStyle="1" w:styleId="AppendicesTitle">
    <w:name w:val="Appendices Title"/>
    <w:basedOn w:val="Nagwek2"/>
    <w:next w:val="Normalny"/>
    <w:uiPriority w:val="9"/>
    <w:semiHidden/>
    <w:rsid w:val="00B04BC4"/>
    <w:rPr>
      <w:color w:val="auto"/>
    </w:rPr>
  </w:style>
  <w:style w:type="character" w:styleId="Hipercze">
    <w:name w:val="Hyperlink"/>
    <w:basedOn w:val="Domylnaczcionkaakapitu"/>
    <w:uiPriority w:val="99"/>
    <w:rsid w:val="00B04BC4"/>
    <w:rPr>
      <w:color w:val="0000FF"/>
      <w:u w:val="single"/>
      <w:lang w:val="en-US"/>
    </w:rPr>
  </w:style>
  <w:style w:type="paragraph" w:customStyle="1" w:styleId="ReferenceTitle">
    <w:name w:val="Reference Title"/>
    <w:next w:val="ReferenceText"/>
    <w:uiPriority w:val="9"/>
    <w:unhideWhenUsed/>
    <w:rsid w:val="00B04BC4"/>
    <w:pPr>
      <w:spacing w:after="120" w:line="240" w:lineRule="atLeast"/>
    </w:pPr>
    <w:rPr>
      <w:rFonts w:asciiTheme="minorHAnsi" w:hAnsiTheme="minorHAnsi" w:cs="Arial"/>
      <w:b/>
      <w:kern w:val="32"/>
      <w:sz w:val="18"/>
      <w:szCs w:val="24"/>
    </w:rPr>
  </w:style>
  <w:style w:type="paragraph" w:customStyle="1" w:styleId="ReferenceText">
    <w:name w:val="Reference Text"/>
    <w:uiPriority w:val="9"/>
    <w:unhideWhenUsed/>
    <w:rsid w:val="00B04BC4"/>
    <w:pPr>
      <w:spacing w:after="120" w:line="240" w:lineRule="atLeast"/>
    </w:pPr>
    <w:rPr>
      <w:rFonts w:asciiTheme="minorHAnsi" w:hAnsiTheme="minorHAnsi" w:cs="Arial"/>
      <w:kern w:val="32"/>
      <w:sz w:val="18"/>
      <w:szCs w:val="24"/>
    </w:rPr>
  </w:style>
  <w:style w:type="paragraph" w:customStyle="1" w:styleId="Backpage">
    <w:name w:val="Back page"/>
    <w:uiPriority w:val="9"/>
    <w:semiHidden/>
    <w:rsid w:val="00B04BC4"/>
    <w:rPr>
      <w:rFonts w:asciiTheme="majorHAnsi" w:hAnsiTheme="majorHAnsi" w:cs="Arial"/>
      <w:b/>
      <w:sz w:val="18"/>
    </w:rPr>
  </w:style>
  <w:style w:type="paragraph" w:customStyle="1" w:styleId="Copyright">
    <w:name w:val="Copyright"/>
    <w:semiHidden/>
    <w:rsid w:val="00B04BC4"/>
    <w:pPr>
      <w:framePr w:hSpace="181" w:wrap="around" w:hAnchor="margin" w:yAlign="bottom"/>
      <w:spacing w:after="80"/>
    </w:pPr>
    <w:rPr>
      <w:rFonts w:ascii="Arial Narrow" w:hAnsi="Arial Narrow" w:cs="Arial"/>
      <w:color w:val="747678" w:themeColor="background2"/>
      <w:sz w:val="12"/>
    </w:rPr>
  </w:style>
  <w:style w:type="paragraph" w:customStyle="1" w:styleId="TradingName">
    <w:name w:val="Trading Name"/>
    <w:semiHidden/>
    <w:rsid w:val="00B04BC4"/>
    <w:pPr>
      <w:spacing w:line="180" w:lineRule="atLeast"/>
    </w:pPr>
    <w:rPr>
      <w:rFonts w:asciiTheme="minorHAnsi" w:eastAsia="SimHei" w:hAnsiTheme="minorHAnsi" w:cs="Arial"/>
      <w:b/>
      <w:sz w:val="14"/>
    </w:rPr>
  </w:style>
  <w:style w:type="paragraph" w:customStyle="1" w:styleId="PartnerAddress">
    <w:name w:val="Partner Address"/>
    <w:semiHidden/>
    <w:rsid w:val="00B04BC4"/>
    <w:rPr>
      <w:rFonts w:asciiTheme="minorHAnsi" w:eastAsia="SimHei" w:hAnsiTheme="minorHAnsi" w:cs="Arial"/>
      <w:sz w:val="14"/>
    </w:rPr>
  </w:style>
  <w:style w:type="paragraph" w:customStyle="1" w:styleId="HalfLineBreak">
    <w:name w:val="Half Line Break"/>
    <w:semiHidden/>
    <w:rsid w:val="00B04BC4"/>
    <w:pPr>
      <w:framePr w:wrap="around" w:vAnchor="page" w:hAnchor="page" w:x="9016" w:y="3970"/>
      <w:suppressOverlap/>
    </w:pPr>
    <w:rPr>
      <w:rFonts w:asciiTheme="minorHAnsi" w:eastAsia="SimHei" w:hAnsiTheme="minorHAnsi" w:cs="Arial"/>
      <w:b/>
      <w:sz w:val="7"/>
    </w:rPr>
  </w:style>
  <w:style w:type="paragraph" w:customStyle="1" w:styleId="LetterFooter">
    <w:name w:val="Letter Footer"/>
    <w:rsid w:val="0093057B"/>
    <w:pPr>
      <w:spacing w:line="140" w:lineRule="atLeast"/>
    </w:pPr>
    <w:rPr>
      <w:rFonts w:ascii="Arial Narrow" w:hAnsi="Arial Narrow" w:cs="Arial"/>
      <w:sz w:val="12"/>
      <w:lang w:val="en-GB"/>
    </w:rPr>
  </w:style>
  <w:style w:type="paragraph" w:customStyle="1" w:styleId="LetterFooterTitle">
    <w:name w:val="Letter Footer Title"/>
    <w:next w:val="LetterFooter"/>
    <w:uiPriority w:val="9"/>
    <w:semiHidden/>
    <w:rsid w:val="0093057B"/>
    <w:pPr>
      <w:spacing w:line="140" w:lineRule="atLeast"/>
    </w:pPr>
    <w:rPr>
      <w:rFonts w:ascii="Arial Narrow" w:hAnsi="Arial Narrow" w:cs="Arial"/>
      <w:b/>
      <w:sz w:val="12"/>
      <w:lang w:val="en-GB"/>
    </w:rPr>
  </w:style>
  <w:style w:type="paragraph" w:customStyle="1" w:styleId="LandscapeHeader">
    <w:name w:val="Landscape Header"/>
    <w:basedOn w:val="Nagwek"/>
    <w:semiHidden/>
    <w:rsid w:val="00B04BC4"/>
    <w:pPr>
      <w:tabs>
        <w:tab w:val="clear" w:pos="8562"/>
        <w:tab w:val="right" w:pos="13438"/>
      </w:tabs>
    </w:pPr>
  </w:style>
  <w:style w:type="paragraph" w:customStyle="1" w:styleId="NumberedHeading1">
    <w:name w:val="Numbered Heading 1"/>
    <w:next w:val="Tekstpodstawowy"/>
    <w:uiPriority w:val="3"/>
    <w:qFormat/>
    <w:rsid w:val="0021621D"/>
    <w:pPr>
      <w:numPr>
        <w:numId w:val="15"/>
      </w:numPr>
      <w:spacing w:before="240" w:after="120" w:line="400" w:lineRule="exact"/>
    </w:pPr>
    <w:rPr>
      <w:rFonts w:asciiTheme="majorHAnsi" w:hAnsiTheme="majorHAnsi" w:cstheme="majorHAnsi"/>
      <w:color w:val="4F2D7F" w:themeColor="accent1"/>
      <w:sz w:val="36"/>
      <w:lang w:val="pl-PL"/>
    </w:rPr>
  </w:style>
  <w:style w:type="paragraph" w:customStyle="1" w:styleId="NumberedHeading2">
    <w:name w:val="Numbered Heading 2"/>
    <w:next w:val="Tekstpodstawowy"/>
    <w:uiPriority w:val="3"/>
    <w:qFormat/>
    <w:rsid w:val="0021621D"/>
    <w:pPr>
      <w:numPr>
        <w:ilvl w:val="1"/>
        <w:numId w:val="15"/>
      </w:numPr>
      <w:spacing w:before="240" w:after="120" w:line="320" w:lineRule="exact"/>
    </w:pPr>
    <w:rPr>
      <w:rFonts w:asciiTheme="majorHAnsi" w:hAnsiTheme="majorHAnsi" w:cstheme="majorHAnsi"/>
      <w:color w:val="4F2D7F" w:themeColor="accent1"/>
      <w:sz w:val="26"/>
      <w:szCs w:val="28"/>
      <w:lang w:val="pl-PL"/>
    </w:rPr>
  </w:style>
  <w:style w:type="table" w:styleId="Tabela-Siatka">
    <w:name w:val="Table Grid"/>
    <w:basedOn w:val="Standardowy"/>
    <w:rsid w:val="00B04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ullet">
    <w:name w:val="Paragraph Bullet"/>
    <w:basedOn w:val="Normalny"/>
    <w:uiPriority w:val="1"/>
    <w:rsid w:val="00B04BC4"/>
    <w:pPr>
      <w:numPr>
        <w:numId w:val="6"/>
      </w:numPr>
    </w:pPr>
  </w:style>
  <w:style w:type="paragraph" w:customStyle="1" w:styleId="ParagraphBullet2">
    <w:name w:val="Paragraph Bullet 2"/>
    <w:basedOn w:val="Normalny"/>
    <w:uiPriority w:val="1"/>
    <w:rsid w:val="00B04BC4"/>
    <w:pPr>
      <w:numPr>
        <w:ilvl w:val="1"/>
        <w:numId w:val="6"/>
      </w:numPr>
    </w:pPr>
  </w:style>
  <w:style w:type="paragraph" w:customStyle="1" w:styleId="MarginNotesHeading">
    <w:name w:val="Margin Notes Heading"/>
    <w:basedOn w:val="MarginNotes"/>
    <w:semiHidden/>
    <w:rsid w:val="00B04BC4"/>
    <w:rPr>
      <w:b/>
    </w:rPr>
  </w:style>
  <w:style w:type="paragraph" w:styleId="Cytat">
    <w:name w:val="Quote"/>
    <w:basedOn w:val="Tekstpodstawowy"/>
    <w:uiPriority w:val="9"/>
    <w:unhideWhenUsed/>
    <w:rsid w:val="00B04BC4"/>
    <w:rPr>
      <w:sz w:val="28"/>
    </w:rPr>
  </w:style>
  <w:style w:type="paragraph" w:customStyle="1" w:styleId="ContactDetails">
    <w:name w:val="Contact Details"/>
    <w:uiPriority w:val="9"/>
    <w:unhideWhenUsed/>
    <w:rsid w:val="00B04BC4"/>
    <w:rPr>
      <w:rFonts w:asciiTheme="minorHAnsi" w:hAnsiTheme="minorHAnsi" w:cs="Arial"/>
      <w:sz w:val="16"/>
    </w:rPr>
  </w:style>
  <w:style w:type="paragraph" w:customStyle="1" w:styleId="ContactDetailsTitle">
    <w:name w:val="Contact Details Title"/>
    <w:basedOn w:val="ContactDetails"/>
    <w:next w:val="ContactDetails"/>
    <w:uiPriority w:val="9"/>
    <w:unhideWhenUsed/>
    <w:rsid w:val="00B04BC4"/>
    <w:rPr>
      <w:b/>
    </w:rPr>
  </w:style>
  <w:style w:type="paragraph" w:styleId="Tekstmakra">
    <w:name w:val="macro"/>
    <w:semiHidden/>
    <w:rsid w:val="00B04B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"/>
    <w:semiHidden/>
    <w:rsid w:val="00B04BC4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"/>
    <w:semiHidden/>
    <w:rsid w:val="00B04BC4"/>
    <w:rPr>
      <w:rFonts w:asciiTheme="minorHAnsi" w:hAnsiTheme="minorHAnsi" w:cs="Tahoma"/>
      <w:sz w:val="16"/>
      <w:szCs w:val="16"/>
      <w:lang w:val="en-US"/>
    </w:rPr>
  </w:style>
  <w:style w:type="table" w:customStyle="1" w:styleId="GTITableStyle1">
    <w:name w:val="GTI Table Style 1"/>
    <w:basedOn w:val="Standardowy"/>
    <w:uiPriority w:val="99"/>
    <w:rsid w:val="005C23C4"/>
    <w:rPr>
      <w:rFonts w:asciiTheme="minorHAnsi" w:hAnsiTheme="minorHAnsi"/>
    </w:rPr>
    <w:tblPr>
      <w:tblBorders>
        <w:bottom w:val="single" w:sz="2" w:space="0" w:color="4F2D7F" w:themeColor="accent1"/>
        <w:insideH w:val="single" w:sz="2" w:space="0" w:color="4F2D7F" w:themeColor="accent1"/>
      </w:tblBorders>
      <w:tblCellMar>
        <w:left w:w="28" w:type="dxa"/>
        <w:right w:w="2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ekstpodstawowyZnak">
    <w:name w:val="Tekst podstawowy Znak"/>
    <w:basedOn w:val="Domylnaczcionkaakapitu"/>
    <w:link w:val="Tekstpodstawowy"/>
    <w:rsid w:val="0015731C"/>
    <w:rPr>
      <w:rFonts w:asciiTheme="minorHAnsi" w:hAnsiTheme="minorHAnsi" w:cs="Arial"/>
      <w:sz w:val="18"/>
    </w:rPr>
  </w:style>
  <w:style w:type="numbering" w:customStyle="1" w:styleId="GTListBullet">
    <w:name w:val="GT List Bullet"/>
    <w:uiPriority w:val="99"/>
    <w:rsid w:val="008C4D0D"/>
    <w:pPr>
      <w:numPr>
        <w:numId w:val="1"/>
      </w:numPr>
    </w:pPr>
  </w:style>
  <w:style w:type="numbering" w:customStyle="1" w:styleId="GTListNumber">
    <w:name w:val="GT List Number"/>
    <w:uiPriority w:val="99"/>
    <w:rsid w:val="008C4D0D"/>
    <w:pPr>
      <w:numPr>
        <w:numId w:val="2"/>
      </w:numPr>
    </w:pPr>
  </w:style>
  <w:style w:type="numbering" w:customStyle="1" w:styleId="GTNumberedHeadings">
    <w:name w:val="GT Numbered Headings"/>
    <w:uiPriority w:val="99"/>
    <w:rsid w:val="00B04BC4"/>
    <w:pPr>
      <w:numPr>
        <w:numId w:val="3"/>
      </w:numPr>
    </w:pPr>
  </w:style>
  <w:style w:type="numbering" w:customStyle="1" w:styleId="GTParagraphBullet">
    <w:name w:val="GT Paragraph Bullet"/>
    <w:uiPriority w:val="99"/>
    <w:rsid w:val="00B04BC4"/>
    <w:pPr>
      <w:numPr>
        <w:numId w:val="4"/>
      </w:numPr>
    </w:pPr>
  </w:style>
  <w:style w:type="paragraph" w:styleId="Bezodstpw">
    <w:name w:val="No Spacing"/>
    <w:uiPriority w:val="1"/>
    <w:semiHidden/>
    <w:rsid w:val="00B04BC4"/>
    <w:rPr>
      <w:rFonts w:asciiTheme="minorHAnsi" w:hAnsiTheme="minorHAnsi" w:cs="Arial"/>
      <w:sz w:val="18"/>
    </w:rPr>
  </w:style>
  <w:style w:type="paragraph" w:styleId="Zwykytekst">
    <w:name w:val="Plain Text"/>
    <w:basedOn w:val="Normalny"/>
    <w:link w:val="ZwykytekstZnak"/>
    <w:semiHidden/>
    <w:unhideWhenUsed/>
    <w:rsid w:val="00B04BC4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B04BC4"/>
    <w:rPr>
      <w:rFonts w:asciiTheme="minorHAnsi" w:hAnsiTheme="minorHAnsi" w:cs="Arial"/>
      <w:sz w:val="18"/>
      <w:szCs w:val="21"/>
      <w:lang w:val="en-US"/>
    </w:rPr>
  </w:style>
  <w:style w:type="paragraph" w:styleId="Spistreci4">
    <w:name w:val="toc 4"/>
    <w:basedOn w:val="Normalny"/>
    <w:next w:val="Normalny"/>
    <w:autoRedefine/>
    <w:semiHidden/>
    <w:rsid w:val="00B04BC4"/>
    <w:pPr>
      <w:tabs>
        <w:tab w:val="right" w:pos="8363"/>
      </w:tabs>
      <w:ind w:left="539"/>
    </w:pPr>
  </w:style>
  <w:style w:type="paragraph" w:styleId="Spistreci5">
    <w:name w:val="toc 5"/>
    <w:basedOn w:val="Normalny"/>
    <w:next w:val="Normalny"/>
    <w:autoRedefine/>
    <w:semiHidden/>
    <w:rsid w:val="00B04BC4"/>
    <w:pPr>
      <w:tabs>
        <w:tab w:val="right" w:pos="8363"/>
      </w:tabs>
      <w:ind w:left="720"/>
    </w:pPr>
  </w:style>
  <w:style w:type="paragraph" w:styleId="Spistreci6">
    <w:name w:val="toc 6"/>
    <w:basedOn w:val="Normalny"/>
    <w:next w:val="Normalny"/>
    <w:autoRedefine/>
    <w:semiHidden/>
    <w:rsid w:val="00B04BC4"/>
    <w:pPr>
      <w:ind w:left="902"/>
    </w:pPr>
  </w:style>
  <w:style w:type="paragraph" w:styleId="Spistreci7">
    <w:name w:val="toc 7"/>
    <w:basedOn w:val="Normalny"/>
    <w:next w:val="Normalny"/>
    <w:autoRedefine/>
    <w:semiHidden/>
    <w:rsid w:val="00B04BC4"/>
    <w:pPr>
      <w:ind w:left="1077"/>
    </w:pPr>
  </w:style>
  <w:style w:type="paragraph" w:styleId="Spistreci8">
    <w:name w:val="toc 8"/>
    <w:basedOn w:val="Normalny"/>
    <w:next w:val="Normalny"/>
    <w:autoRedefine/>
    <w:semiHidden/>
    <w:rsid w:val="00B04BC4"/>
    <w:pPr>
      <w:ind w:left="1259"/>
    </w:pPr>
  </w:style>
  <w:style w:type="paragraph" w:styleId="Spistreci9">
    <w:name w:val="toc 9"/>
    <w:basedOn w:val="Normalny"/>
    <w:next w:val="Normalny"/>
    <w:autoRedefine/>
    <w:semiHidden/>
    <w:rsid w:val="00B04BC4"/>
    <w:pPr>
      <w:ind w:left="1440"/>
    </w:pPr>
  </w:style>
  <w:style w:type="paragraph" w:customStyle="1" w:styleId="Address1">
    <w:name w:val="Address1"/>
    <w:basedOn w:val="PartnerAddress"/>
    <w:rsid w:val="00CA7B49"/>
    <w:pPr>
      <w:spacing w:after="120"/>
    </w:pPr>
    <w:rPr>
      <w:color w:val="4F2D7F" w:themeColor="accent1"/>
      <w:szCs w:val="16"/>
    </w:rPr>
  </w:style>
  <w:style w:type="paragraph" w:customStyle="1" w:styleId="WebAddress">
    <w:name w:val="WebAddress"/>
    <w:basedOn w:val="Address1"/>
    <w:semiHidden/>
    <w:qFormat/>
    <w:rsid w:val="00CA7B49"/>
    <w:rPr>
      <w:b/>
      <w:sz w:val="12"/>
    </w:rPr>
  </w:style>
  <w:style w:type="paragraph" w:customStyle="1" w:styleId="ClientAddress">
    <w:name w:val="Client Address"/>
    <w:basedOn w:val="Tekstpodstawowy"/>
    <w:rsid w:val="00462B97"/>
    <w:pPr>
      <w:framePr w:hSpace="180" w:wrap="around" w:vAnchor="text" w:hAnchor="text" w:y="1"/>
      <w:spacing w:after="0" w:line="240" w:lineRule="auto"/>
      <w:suppressOverlap/>
    </w:pPr>
  </w:style>
  <w:style w:type="paragraph" w:customStyle="1" w:styleId="Smlspace">
    <w:name w:val="Sml space"/>
    <w:basedOn w:val="Copyright"/>
    <w:semiHidden/>
    <w:qFormat/>
    <w:rsid w:val="00CA7B49"/>
    <w:pPr>
      <w:framePr w:hSpace="180" w:wrap="around" w:vAnchor="text" w:hAnchor="text" w:y="10232"/>
    </w:pPr>
    <w:rPr>
      <w:color w:val="4F2D7F" w:themeColor="accent1"/>
      <w:sz w:val="2"/>
      <w:szCs w:val="2"/>
    </w:rPr>
  </w:style>
  <w:style w:type="character" w:customStyle="1" w:styleId="Nagwek1Znak">
    <w:name w:val="Nagłówek 1 Znak"/>
    <w:basedOn w:val="Domylnaczcionkaakapitu"/>
    <w:link w:val="Nagwek1"/>
    <w:rsid w:val="0015731C"/>
    <w:rPr>
      <w:rFonts w:asciiTheme="majorHAnsi" w:hAnsiTheme="majorHAnsi" w:cstheme="majorHAnsi"/>
      <w:bCs/>
      <w:color w:val="4F2D7F" w:themeColor="accent1"/>
      <w:kern w:val="32"/>
      <w:sz w:val="36"/>
      <w:szCs w:val="28"/>
    </w:rPr>
  </w:style>
  <w:style w:type="character" w:customStyle="1" w:styleId="Nagwek2Znak">
    <w:name w:val="Nagłówek 2 Znak"/>
    <w:basedOn w:val="Domylnaczcionkaakapitu"/>
    <w:link w:val="Nagwek2"/>
    <w:rsid w:val="0015731C"/>
    <w:rPr>
      <w:rFonts w:asciiTheme="majorHAnsi" w:hAnsiTheme="majorHAnsi" w:cstheme="majorHAnsi"/>
      <w:color w:val="4F2D7F" w:themeColor="accent1"/>
      <w:kern w:val="32"/>
      <w:sz w:val="26"/>
      <w:szCs w:val="19"/>
    </w:rPr>
  </w:style>
  <w:style w:type="character" w:customStyle="1" w:styleId="Nagwek4Znak">
    <w:name w:val="Nagłówek 4 Znak"/>
    <w:basedOn w:val="Domylnaczcionkaakapitu"/>
    <w:link w:val="Nagwek4"/>
    <w:rsid w:val="0015731C"/>
    <w:rPr>
      <w:rFonts w:asciiTheme="minorHAnsi" w:hAnsiTheme="minorHAnsi" w:cstheme="minorHAnsi"/>
      <w:color w:val="4F2D7F" w:themeColor="accent1"/>
      <w:kern w:val="32"/>
      <w:sz w:val="18"/>
      <w:szCs w:val="18"/>
    </w:rPr>
  </w:style>
  <w:style w:type="paragraph" w:customStyle="1" w:styleId="LandscapeFooter">
    <w:name w:val="Landscape Footer"/>
    <w:basedOn w:val="Stopka"/>
    <w:uiPriority w:val="9"/>
    <w:semiHidden/>
    <w:rsid w:val="00B04BC4"/>
    <w:pPr>
      <w:tabs>
        <w:tab w:val="right" w:pos="13461"/>
      </w:tabs>
    </w:pPr>
  </w:style>
  <w:style w:type="paragraph" w:customStyle="1" w:styleId="SectionTitleLandscape">
    <w:name w:val="Section Title Landscape"/>
    <w:basedOn w:val="Normalny"/>
    <w:next w:val="Tekstpodstawowy"/>
    <w:uiPriority w:val="3"/>
    <w:rsid w:val="00C4637C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customStyle="1" w:styleId="AppendixTitleLandscape">
    <w:name w:val="Appendix Title Landscape"/>
    <w:basedOn w:val="Normalny"/>
    <w:next w:val="Tekstpodstawowy"/>
    <w:uiPriority w:val="4"/>
    <w:rsid w:val="00C4637C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6C286D"/>
  </w:style>
  <w:style w:type="paragraph" w:styleId="Tekstblokowy">
    <w:name w:val="Block Text"/>
    <w:basedOn w:val="Normalny"/>
    <w:semiHidden/>
    <w:unhideWhenUsed/>
    <w:rsid w:val="006C286D"/>
    <w:pPr>
      <w:pBdr>
        <w:top w:val="single" w:sz="2" w:space="10" w:color="4F2D7F" w:themeColor="accent1"/>
        <w:left w:val="single" w:sz="2" w:space="10" w:color="4F2D7F" w:themeColor="accent1"/>
        <w:bottom w:val="single" w:sz="2" w:space="10" w:color="4F2D7F" w:themeColor="accent1"/>
        <w:right w:val="single" w:sz="2" w:space="10" w:color="4F2D7F" w:themeColor="accent1"/>
      </w:pBdr>
      <w:ind w:left="1152" w:right="1152"/>
    </w:pPr>
    <w:rPr>
      <w:rFonts w:eastAsiaTheme="minorEastAsia" w:cstheme="minorBidi"/>
      <w:i/>
      <w:iCs/>
      <w:color w:val="4F2D7F" w:themeColor="accent1"/>
    </w:rPr>
  </w:style>
  <w:style w:type="paragraph" w:styleId="Tekstpodstawowy2">
    <w:name w:val="Body Text 2"/>
    <w:basedOn w:val="Normalny"/>
    <w:link w:val="Tekstpodstawowy2Znak"/>
    <w:semiHidden/>
    <w:unhideWhenUsed/>
    <w:rsid w:val="006C286D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C286D"/>
    <w:rPr>
      <w:rFonts w:asciiTheme="minorHAnsi" w:hAnsiTheme="minorHAnsi" w:cs="Arial"/>
      <w:sz w:val="18"/>
      <w:lang w:val="en-US"/>
    </w:rPr>
  </w:style>
  <w:style w:type="paragraph" w:styleId="Tekstpodstawowy3">
    <w:name w:val="Body Text 3"/>
    <w:basedOn w:val="Normalny"/>
    <w:link w:val="Tekstpodstawowy3Znak"/>
    <w:semiHidden/>
    <w:unhideWhenUsed/>
    <w:rsid w:val="006C286D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C286D"/>
    <w:rPr>
      <w:rFonts w:asciiTheme="minorHAnsi" w:hAnsiTheme="minorHAnsi" w:cs="Arial"/>
      <w:sz w:val="16"/>
      <w:szCs w:val="16"/>
      <w:lang w:val="en-US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6C286D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6C286D"/>
    <w:rPr>
      <w:rFonts w:asciiTheme="minorHAnsi" w:hAnsiTheme="minorHAnsi" w:cs="Arial"/>
      <w:sz w:val="18"/>
      <w:lang w:val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C286D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C286D"/>
    <w:rPr>
      <w:rFonts w:asciiTheme="minorHAnsi" w:hAnsiTheme="minorHAnsi" w:cs="Arial"/>
      <w:sz w:val="18"/>
      <w:lang w:val="en-US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6C286D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6C286D"/>
    <w:rPr>
      <w:rFonts w:asciiTheme="minorHAnsi" w:hAnsiTheme="minorHAnsi" w:cs="Arial"/>
      <w:sz w:val="18"/>
      <w:lang w:val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C286D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C286D"/>
    <w:rPr>
      <w:rFonts w:asciiTheme="minorHAnsi" w:hAnsiTheme="minorHAnsi" w:cs="Arial"/>
      <w:sz w:val="18"/>
      <w:lang w:val="en-US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6C286D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C286D"/>
    <w:rPr>
      <w:rFonts w:asciiTheme="minorHAnsi" w:hAnsiTheme="minorHAnsi" w:cs="Arial"/>
      <w:sz w:val="16"/>
      <w:szCs w:val="16"/>
      <w:lang w:val="en-US"/>
    </w:rPr>
  </w:style>
  <w:style w:type="character" w:styleId="Tytuksiki">
    <w:name w:val="Book Title"/>
    <w:basedOn w:val="Domylnaczcionkaakapitu"/>
    <w:uiPriority w:val="33"/>
    <w:semiHidden/>
    <w:qFormat/>
    <w:rsid w:val="006C286D"/>
    <w:rPr>
      <w:b/>
      <w:bCs/>
      <w:i/>
      <w:iCs/>
      <w:spacing w:val="5"/>
      <w:lang w:val="en-US"/>
    </w:rPr>
  </w:style>
  <w:style w:type="paragraph" w:styleId="Legenda">
    <w:name w:val="caption"/>
    <w:basedOn w:val="Normalny"/>
    <w:next w:val="Normalny"/>
    <w:semiHidden/>
    <w:unhideWhenUsed/>
    <w:qFormat/>
    <w:rsid w:val="006C286D"/>
    <w:pPr>
      <w:spacing w:after="200" w:line="240" w:lineRule="auto"/>
    </w:pPr>
    <w:rPr>
      <w:i/>
      <w:iCs/>
      <w:color w:val="747678" w:themeColor="text2"/>
      <w:szCs w:val="18"/>
    </w:rPr>
  </w:style>
  <w:style w:type="paragraph" w:styleId="Zwrotpoegnalny">
    <w:name w:val="Closing"/>
    <w:basedOn w:val="Normalny"/>
    <w:link w:val="ZwrotpoegnalnyZnak"/>
    <w:semiHidden/>
    <w:unhideWhenUsed/>
    <w:rsid w:val="006C286D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semiHidden/>
    <w:rsid w:val="006C286D"/>
    <w:rPr>
      <w:rFonts w:asciiTheme="minorHAnsi" w:hAnsiTheme="minorHAnsi" w:cs="Arial"/>
      <w:sz w:val="18"/>
      <w:lang w:val="en-US"/>
    </w:rPr>
  </w:style>
  <w:style w:type="table" w:styleId="Kolorowasiatka">
    <w:name w:val="Colorful Grid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</w:rPr>
      <w:tblPr/>
      <w:tcPr>
        <w:shd w:val="clear" w:color="auto" w:fill="B59BD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9BD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</w:rPr>
      <w:tblPr/>
      <w:tcPr>
        <w:shd w:val="clear" w:color="auto" w:fill="E9E5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5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</w:rPr>
      <w:tblPr/>
      <w:tcPr>
        <w:shd w:val="clear" w:color="auto" w:fill="7BF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</w:rPr>
      <w:tblPr/>
      <w:tcPr>
        <w:shd w:val="clear" w:color="auto" w:fill="FFCAA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A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</w:rPr>
      <w:tblPr/>
      <w:tcPr>
        <w:shd w:val="clear" w:color="auto" w:fill="D6EF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F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</w:rPr>
      <w:tblPr/>
      <w:tcPr>
        <w:shd w:val="clear" w:color="auto" w:fill="F6A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ECE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9F8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5F00" w:themeFill="accent4" w:themeFillShade="CC"/>
      </w:tcPr>
    </w:tblStylePr>
    <w:tblStylePr w:type="lastRow">
      <w:rPr>
        <w:b/>
        <w:bCs/>
        <w:color w:val="E45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FF2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590" w:themeFill="accent3" w:themeFillShade="CC"/>
      </w:tcPr>
    </w:tblStylePr>
    <w:tblStylePr w:type="lastRow">
      <w:rPr>
        <w:b/>
        <w:bCs/>
        <w:color w:val="00859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5FB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142B" w:themeFill="accent6" w:themeFillShade="CC"/>
      </w:tcPr>
    </w:tblStylePr>
    <w:tblStylePr w:type="lastRow">
      <w:rPr>
        <w:b/>
        <w:bCs/>
        <w:color w:val="C5142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CE9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B122" w:themeFill="accent5" w:themeFillShade="CC"/>
      </w:tcPr>
    </w:tblStylePr>
    <w:tblStylePr w:type="lastRow">
      <w:rPr>
        <w:b/>
        <w:bCs/>
        <w:color w:val="7DB1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1B4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1B4C" w:themeColor="accent1" w:themeShade="99"/>
          <w:insideV w:val="nil"/>
        </w:tcBorders>
        <w:shd w:val="clear" w:color="auto" w:fill="2F1B4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4C" w:themeFill="accent1" w:themeFillShade="99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A382D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45B" w:themeColor="accent2" w:themeShade="99"/>
          <w:insideV w:val="nil"/>
        </w:tcBorders>
        <w:shd w:val="clear" w:color="auto" w:fill="857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45B" w:themeFill="accent2" w:themeFillShade="99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3DE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FF7D1E" w:themeColor="accent4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3" w:themeShade="99"/>
          <w:insideV w:val="nil"/>
        </w:tcBorders>
        <w:shd w:val="clear" w:color="auto" w:fill="00636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3" w:themeFillShade="99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00A7B5" w:themeColor="accent3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47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4700" w:themeColor="accent4" w:themeShade="99"/>
          <w:insideV w:val="nil"/>
        </w:tcBorders>
        <w:shd w:val="clear" w:color="auto" w:fill="AB47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4700" w:themeFill="accent4" w:themeFillShade="99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BD8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E92841" w:themeColor="accent6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851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851A" w:themeColor="accent5" w:themeShade="99"/>
          <w:insideV w:val="nil"/>
        </w:tcBorders>
        <w:shd w:val="clear" w:color="auto" w:fill="5D851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851A" w:themeFill="accent5" w:themeFillShade="99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CDEB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9BD732" w:themeColor="accent5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0F2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0F20" w:themeColor="accent6" w:themeShade="99"/>
          <w:insideV w:val="nil"/>
        </w:tcBorders>
        <w:shd w:val="clear" w:color="auto" w:fill="940F2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0F20" w:themeFill="accent6" w:themeFillShade="99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493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semiHidden/>
    <w:unhideWhenUsed/>
    <w:rsid w:val="006C286D"/>
    <w:rPr>
      <w:sz w:val="16"/>
      <w:szCs w:val="16"/>
      <w:lang w:val="en-US"/>
    </w:rPr>
  </w:style>
  <w:style w:type="paragraph" w:styleId="Tekstkomentarza">
    <w:name w:val="annotation text"/>
    <w:basedOn w:val="Normalny"/>
    <w:link w:val="TekstkomentarzaZnak"/>
    <w:semiHidden/>
    <w:unhideWhenUsed/>
    <w:rsid w:val="006C286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C286D"/>
    <w:rPr>
      <w:rFonts w:asciiTheme="minorHAnsi" w:hAnsiTheme="minorHAnsi" w:cs="Aria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C28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C286D"/>
    <w:rPr>
      <w:rFonts w:asciiTheme="minorHAnsi" w:hAnsiTheme="minorHAnsi" w:cs="Arial"/>
      <w:b/>
      <w:bCs/>
      <w:lang w:val="en-US"/>
    </w:rPr>
  </w:style>
  <w:style w:type="table" w:styleId="Ciemnalista">
    <w:name w:val="Dark List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163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215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0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90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3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59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E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A5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0C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132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</w:style>
  <w:style w:type="paragraph" w:styleId="Data">
    <w:name w:val="Date"/>
    <w:basedOn w:val="Normalny"/>
    <w:next w:val="Normalny"/>
    <w:link w:val="DataZnak"/>
    <w:semiHidden/>
    <w:unhideWhenUsed/>
    <w:rsid w:val="006C286D"/>
  </w:style>
  <w:style w:type="character" w:customStyle="1" w:styleId="DataZnak">
    <w:name w:val="Data Znak"/>
    <w:basedOn w:val="Domylnaczcionkaakapitu"/>
    <w:link w:val="Data"/>
    <w:semiHidden/>
    <w:rsid w:val="006C286D"/>
    <w:rPr>
      <w:rFonts w:asciiTheme="minorHAnsi" w:hAnsiTheme="minorHAnsi" w:cs="Arial"/>
      <w:sz w:val="18"/>
      <w:lang w:val="en-US"/>
    </w:rPr>
  </w:style>
  <w:style w:type="paragraph" w:styleId="Mapadokumentu">
    <w:name w:val="Document Map"/>
    <w:basedOn w:val="Normalny"/>
    <w:link w:val="MapadokumentuZnak"/>
    <w:semiHidden/>
    <w:unhideWhenUsed/>
    <w:rsid w:val="006C286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6C286D"/>
    <w:rPr>
      <w:rFonts w:ascii="Segoe UI" w:hAnsi="Segoe UI" w:cs="Segoe UI"/>
      <w:sz w:val="16"/>
      <w:szCs w:val="16"/>
      <w:lang w:val="en-US"/>
    </w:rPr>
  </w:style>
  <w:style w:type="paragraph" w:styleId="Podpise-mail">
    <w:name w:val="E-mail Signature"/>
    <w:basedOn w:val="Normalny"/>
    <w:link w:val="Podpise-mailZnak"/>
    <w:semiHidden/>
    <w:unhideWhenUsed/>
    <w:rsid w:val="006C286D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semiHidden/>
    <w:rsid w:val="006C286D"/>
    <w:rPr>
      <w:rFonts w:asciiTheme="minorHAnsi" w:hAnsiTheme="minorHAnsi" w:cs="Arial"/>
      <w:sz w:val="18"/>
      <w:lang w:val="en-US"/>
    </w:rPr>
  </w:style>
  <w:style w:type="character" w:styleId="Uwydatnienie">
    <w:name w:val="Emphasis"/>
    <w:basedOn w:val="Domylnaczcionkaakapitu"/>
    <w:uiPriority w:val="9"/>
    <w:semiHidden/>
    <w:unhideWhenUsed/>
    <w:rsid w:val="006C286D"/>
    <w:rPr>
      <w:i/>
      <w:iCs/>
      <w:lang w:val="en-US"/>
    </w:rPr>
  </w:style>
  <w:style w:type="character" w:styleId="Odwoanieprzypisukocowego">
    <w:name w:val="endnote reference"/>
    <w:basedOn w:val="Domylnaczcionkaakapitu"/>
    <w:semiHidden/>
    <w:unhideWhenUsed/>
    <w:rsid w:val="006C286D"/>
    <w:rPr>
      <w:vertAlign w:val="superscript"/>
      <w:lang w:val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6C286D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C286D"/>
    <w:rPr>
      <w:rFonts w:asciiTheme="minorHAnsi" w:hAnsiTheme="minorHAnsi" w:cs="Arial"/>
      <w:lang w:val="en-US"/>
    </w:rPr>
  </w:style>
  <w:style w:type="paragraph" w:styleId="Adresnakopercie">
    <w:name w:val="envelope address"/>
    <w:basedOn w:val="Normalny"/>
    <w:semiHidden/>
    <w:unhideWhenUsed/>
    <w:rsid w:val="006C286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semiHidden/>
    <w:unhideWhenUsed/>
    <w:rsid w:val="006C286D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UyteHipercze">
    <w:name w:val="FollowedHyperlink"/>
    <w:basedOn w:val="Domylnaczcionkaakapitu"/>
    <w:semiHidden/>
    <w:unhideWhenUsed/>
    <w:rsid w:val="006C286D"/>
    <w:rPr>
      <w:color w:val="800080" w:themeColor="followedHyperlink"/>
      <w:u w:val="single"/>
      <w:lang w:val="en-US"/>
    </w:rPr>
  </w:style>
  <w:style w:type="character" w:styleId="Odwoanieprzypisudolnego">
    <w:name w:val="footnote reference"/>
    <w:basedOn w:val="Domylnaczcionkaakapitu"/>
    <w:semiHidden/>
    <w:rsid w:val="006C286D"/>
    <w:rPr>
      <w:vertAlign w:val="superscript"/>
      <w:lang w:val="en-US"/>
    </w:rPr>
  </w:style>
  <w:style w:type="paragraph" w:styleId="Tekstprzypisudolnego">
    <w:name w:val="footnote text"/>
    <w:basedOn w:val="Normalny"/>
    <w:link w:val="TekstprzypisudolnegoZnak"/>
    <w:semiHidden/>
    <w:rsid w:val="006C286D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C286D"/>
    <w:rPr>
      <w:rFonts w:asciiTheme="minorHAnsi" w:hAnsiTheme="minorHAnsi" w:cs="Arial"/>
      <w:lang w:val="en-US"/>
    </w:rPr>
  </w:style>
  <w:style w:type="table" w:customStyle="1" w:styleId="Tabelasiatki1jasna1">
    <w:name w:val="Tabela siatki 1 — jasna1"/>
    <w:basedOn w:val="Standardowy"/>
    <w:uiPriority w:val="46"/>
    <w:rsid w:val="006C286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6C286D"/>
    <w:tblPr>
      <w:tblStyleRowBandSize w:val="1"/>
      <w:tblStyleColBandSize w:val="1"/>
      <w:tblBorders>
        <w:top w:val="single" w:sz="4" w:space="0" w:color="B59BDB" w:themeColor="accent1" w:themeTint="66"/>
        <w:left w:val="single" w:sz="4" w:space="0" w:color="B59BDB" w:themeColor="accent1" w:themeTint="66"/>
        <w:bottom w:val="single" w:sz="4" w:space="0" w:color="B59BDB" w:themeColor="accent1" w:themeTint="66"/>
        <w:right w:val="single" w:sz="4" w:space="0" w:color="B59BDB" w:themeColor="accent1" w:themeTint="66"/>
        <w:insideH w:val="single" w:sz="4" w:space="0" w:color="B59BDB" w:themeColor="accent1" w:themeTint="66"/>
        <w:insideV w:val="single" w:sz="4" w:space="0" w:color="B59BD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6C286D"/>
    <w:tblPr>
      <w:tblStyleRowBandSize w:val="1"/>
      <w:tblStyleColBandSize w:val="1"/>
      <w:tblBorders>
        <w:top w:val="single" w:sz="4" w:space="0" w:color="E9E5DF" w:themeColor="accent2" w:themeTint="66"/>
        <w:left w:val="single" w:sz="4" w:space="0" w:color="E9E5DF" w:themeColor="accent2" w:themeTint="66"/>
        <w:bottom w:val="single" w:sz="4" w:space="0" w:color="E9E5DF" w:themeColor="accent2" w:themeTint="66"/>
        <w:right w:val="single" w:sz="4" w:space="0" w:color="E9E5DF" w:themeColor="accent2" w:themeTint="66"/>
        <w:insideH w:val="single" w:sz="4" w:space="0" w:color="E9E5DF" w:themeColor="accent2" w:themeTint="66"/>
        <w:insideV w:val="single" w:sz="4" w:space="0" w:color="E9E5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6C286D"/>
    <w:tblPr>
      <w:tblStyleRowBandSize w:val="1"/>
      <w:tblStyleColBandSize w:val="1"/>
      <w:tblBorders>
        <w:top w:val="single" w:sz="4" w:space="0" w:color="7BF4FF" w:themeColor="accent3" w:themeTint="66"/>
        <w:left w:val="single" w:sz="4" w:space="0" w:color="7BF4FF" w:themeColor="accent3" w:themeTint="66"/>
        <w:bottom w:val="single" w:sz="4" w:space="0" w:color="7BF4FF" w:themeColor="accent3" w:themeTint="66"/>
        <w:right w:val="single" w:sz="4" w:space="0" w:color="7BF4FF" w:themeColor="accent3" w:themeTint="66"/>
        <w:insideH w:val="single" w:sz="4" w:space="0" w:color="7BF4FF" w:themeColor="accent3" w:themeTint="66"/>
        <w:insideV w:val="single" w:sz="4" w:space="0" w:color="7BF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6C286D"/>
    <w:tblPr>
      <w:tblStyleRowBandSize w:val="1"/>
      <w:tblStyleColBandSize w:val="1"/>
      <w:tblBorders>
        <w:top w:val="single" w:sz="4" w:space="0" w:color="FFCAA5" w:themeColor="accent4" w:themeTint="66"/>
        <w:left w:val="single" w:sz="4" w:space="0" w:color="FFCAA5" w:themeColor="accent4" w:themeTint="66"/>
        <w:bottom w:val="single" w:sz="4" w:space="0" w:color="FFCAA5" w:themeColor="accent4" w:themeTint="66"/>
        <w:right w:val="single" w:sz="4" w:space="0" w:color="FFCAA5" w:themeColor="accent4" w:themeTint="66"/>
        <w:insideH w:val="single" w:sz="4" w:space="0" w:color="FFCAA5" w:themeColor="accent4" w:themeTint="66"/>
        <w:insideV w:val="single" w:sz="4" w:space="0" w:color="FFCAA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6C286D"/>
    <w:tblPr>
      <w:tblStyleRowBandSize w:val="1"/>
      <w:tblStyleColBandSize w:val="1"/>
      <w:tblBorders>
        <w:top w:val="single" w:sz="4" w:space="0" w:color="D6EFAD" w:themeColor="accent5" w:themeTint="66"/>
        <w:left w:val="single" w:sz="4" w:space="0" w:color="D6EFAD" w:themeColor="accent5" w:themeTint="66"/>
        <w:bottom w:val="single" w:sz="4" w:space="0" w:color="D6EFAD" w:themeColor="accent5" w:themeTint="66"/>
        <w:right w:val="single" w:sz="4" w:space="0" w:color="D6EFAD" w:themeColor="accent5" w:themeTint="66"/>
        <w:insideH w:val="single" w:sz="4" w:space="0" w:color="D6EFAD" w:themeColor="accent5" w:themeTint="66"/>
        <w:insideV w:val="single" w:sz="4" w:space="0" w:color="D6EFA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6C286D"/>
    <w:tblPr>
      <w:tblStyleRowBandSize w:val="1"/>
      <w:tblStyleColBandSize w:val="1"/>
      <w:tblBorders>
        <w:top w:val="single" w:sz="4" w:space="0" w:color="F6A8B2" w:themeColor="accent6" w:themeTint="66"/>
        <w:left w:val="single" w:sz="4" w:space="0" w:color="F6A8B2" w:themeColor="accent6" w:themeTint="66"/>
        <w:bottom w:val="single" w:sz="4" w:space="0" w:color="F6A8B2" w:themeColor="accent6" w:themeTint="66"/>
        <w:right w:val="single" w:sz="4" w:space="0" w:color="F6A8B2" w:themeColor="accent6" w:themeTint="66"/>
        <w:insideH w:val="single" w:sz="4" w:space="0" w:color="F6A8B2" w:themeColor="accent6" w:themeTint="66"/>
        <w:insideV w:val="single" w:sz="4" w:space="0" w:color="F6A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6C286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6C286D"/>
    <w:tblPr>
      <w:tblStyleRowBandSize w:val="1"/>
      <w:tblStyleColBandSize w:val="1"/>
      <w:tblBorders>
        <w:top w:val="single" w:sz="2" w:space="0" w:color="9069CA" w:themeColor="accent1" w:themeTint="99"/>
        <w:bottom w:val="single" w:sz="2" w:space="0" w:color="9069CA" w:themeColor="accent1" w:themeTint="99"/>
        <w:insideH w:val="single" w:sz="2" w:space="0" w:color="9069CA" w:themeColor="accent1" w:themeTint="99"/>
        <w:insideV w:val="single" w:sz="2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69C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6C286D"/>
    <w:tblPr>
      <w:tblStyleRowBandSize w:val="1"/>
      <w:tblStyleColBandSize w:val="1"/>
      <w:tblBorders>
        <w:top w:val="single" w:sz="2" w:space="0" w:color="DED8CF" w:themeColor="accent2" w:themeTint="99"/>
        <w:bottom w:val="single" w:sz="2" w:space="0" w:color="DED8CF" w:themeColor="accent2" w:themeTint="99"/>
        <w:insideH w:val="single" w:sz="2" w:space="0" w:color="DED8CF" w:themeColor="accent2" w:themeTint="99"/>
        <w:insideV w:val="single" w:sz="2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D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6C286D"/>
    <w:tblPr>
      <w:tblStyleRowBandSize w:val="1"/>
      <w:tblStyleColBandSize w:val="1"/>
      <w:tblBorders>
        <w:top w:val="single" w:sz="2" w:space="0" w:color="39EFFF" w:themeColor="accent3" w:themeTint="99"/>
        <w:bottom w:val="single" w:sz="2" w:space="0" w:color="39EFFF" w:themeColor="accent3" w:themeTint="99"/>
        <w:insideH w:val="single" w:sz="2" w:space="0" w:color="39EFFF" w:themeColor="accent3" w:themeTint="99"/>
        <w:insideV w:val="single" w:sz="2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9E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6C286D"/>
    <w:tblPr>
      <w:tblStyleRowBandSize w:val="1"/>
      <w:tblStyleColBandSize w:val="1"/>
      <w:tblBorders>
        <w:top w:val="single" w:sz="2" w:space="0" w:color="FFB078" w:themeColor="accent4" w:themeTint="99"/>
        <w:bottom w:val="single" w:sz="2" w:space="0" w:color="FFB078" w:themeColor="accent4" w:themeTint="99"/>
        <w:insideH w:val="single" w:sz="2" w:space="0" w:color="FFB078" w:themeColor="accent4" w:themeTint="99"/>
        <w:insideV w:val="single" w:sz="2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7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6C286D"/>
    <w:tblPr>
      <w:tblStyleRowBandSize w:val="1"/>
      <w:tblStyleColBandSize w:val="1"/>
      <w:tblBorders>
        <w:top w:val="single" w:sz="2" w:space="0" w:color="C2E784" w:themeColor="accent5" w:themeTint="99"/>
        <w:bottom w:val="single" w:sz="2" w:space="0" w:color="C2E784" w:themeColor="accent5" w:themeTint="99"/>
        <w:insideH w:val="single" w:sz="2" w:space="0" w:color="C2E784" w:themeColor="accent5" w:themeTint="99"/>
        <w:insideV w:val="single" w:sz="2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E78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6C286D"/>
    <w:tblPr>
      <w:tblStyleRowBandSize w:val="1"/>
      <w:tblStyleColBandSize w:val="1"/>
      <w:tblBorders>
        <w:top w:val="single" w:sz="2" w:space="0" w:color="F17D8C" w:themeColor="accent6" w:themeTint="99"/>
        <w:bottom w:val="single" w:sz="2" w:space="0" w:color="F17D8C" w:themeColor="accent6" w:themeTint="99"/>
        <w:insideH w:val="single" w:sz="2" w:space="0" w:color="F17D8C" w:themeColor="accent6" w:themeTint="99"/>
        <w:insideV w:val="single" w:sz="2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7D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table" w:customStyle="1" w:styleId="Tabelasiatki41">
    <w:name w:val="Tabela siatki 4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B59BDB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9E5DF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7BF4FF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CAA5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D6EFAD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6A8B2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6C286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6C286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character" w:customStyle="1" w:styleId="Hashtag1">
    <w:name w:val="Hashtag1"/>
    <w:basedOn w:val="Domylnaczcionkaakapitu"/>
    <w:uiPriority w:val="99"/>
    <w:semiHidden/>
    <w:unhideWhenUsed/>
    <w:rsid w:val="006C286D"/>
    <w:rPr>
      <w:color w:val="2B579A"/>
      <w:shd w:val="clear" w:color="auto" w:fill="E6E6E6"/>
      <w:lang w:val="en-US"/>
    </w:rPr>
  </w:style>
  <w:style w:type="character" w:styleId="HTML-akronim">
    <w:name w:val="HTML Acronym"/>
    <w:basedOn w:val="Domylnaczcionkaakapitu"/>
    <w:semiHidden/>
    <w:unhideWhenUsed/>
    <w:rsid w:val="006C286D"/>
    <w:rPr>
      <w:lang w:val="en-US"/>
    </w:rPr>
  </w:style>
  <w:style w:type="paragraph" w:styleId="HTML-adres">
    <w:name w:val="HTML Address"/>
    <w:basedOn w:val="Normalny"/>
    <w:link w:val="HTML-adresZnak"/>
    <w:semiHidden/>
    <w:unhideWhenUsed/>
    <w:rsid w:val="006C286D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semiHidden/>
    <w:rsid w:val="006C286D"/>
    <w:rPr>
      <w:rFonts w:asciiTheme="minorHAnsi" w:hAnsiTheme="minorHAnsi" w:cs="Arial"/>
      <w:i/>
      <w:iCs/>
      <w:sz w:val="18"/>
      <w:lang w:val="en-US"/>
    </w:rPr>
  </w:style>
  <w:style w:type="character" w:styleId="HTML-cytat">
    <w:name w:val="HTML Cite"/>
    <w:basedOn w:val="Domylnaczcionkaakapitu"/>
    <w:semiHidden/>
    <w:unhideWhenUsed/>
    <w:rsid w:val="006C286D"/>
    <w:rPr>
      <w:i/>
      <w:iCs/>
      <w:lang w:val="en-US"/>
    </w:rPr>
  </w:style>
  <w:style w:type="character" w:styleId="HTML-kod">
    <w:name w:val="HTML Code"/>
    <w:basedOn w:val="Domylnaczcionkaakapitu"/>
    <w:semiHidden/>
    <w:unhideWhenUsed/>
    <w:rsid w:val="006C286D"/>
    <w:rPr>
      <w:rFonts w:ascii="Consolas" w:hAnsi="Consolas"/>
      <w:sz w:val="20"/>
      <w:szCs w:val="20"/>
      <w:lang w:val="en-US"/>
    </w:rPr>
  </w:style>
  <w:style w:type="character" w:styleId="HTML-definicja">
    <w:name w:val="HTML Definition"/>
    <w:basedOn w:val="Domylnaczcionkaakapitu"/>
    <w:semiHidden/>
    <w:unhideWhenUsed/>
    <w:rsid w:val="006C286D"/>
    <w:rPr>
      <w:i/>
      <w:iCs/>
      <w:lang w:val="en-US"/>
    </w:rPr>
  </w:style>
  <w:style w:type="character" w:styleId="HTML-klawiatura">
    <w:name w:val="HTML Keyboard"/>
    <w:basedOn w:val="Domylnaczcionkaakapitu"/>
    <w:semiHidden/>
    <w:unhideWhenUsed/>
    <w:rsid w:val="006C286D"/>
    <w:rPr>
      <w:rFonts w:ascii="Consolas" w:hAnsi="Consolas"/>
      <w:sz w:val="20"/>
      <w:szCs w:val="20"/>
      <w:lang w:val="en-US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C286D"/>
    <w:pPr>
      <w:spacing w:after="0" w:line="240" w:lineRule="auto"/>
    </w:pPr>
    <w:rPr>
      <w:rFonts w:ascii="Consolas" w:hAnsi="Consolas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C286D"/>
    <w:rPr>
      <w:rFonts w:ascii="Consolas" w:hAnsi="Consolas" w:cs="Arial"/>
      <w:lang w:val="en-US"/>
    </w:rPr>
  </w:style>
  <w:style w:type="character" w:styleId="HTML-przykad">
    <w:name w:val="HTML Sample"/>
    <w:basedOn w:val="Domylnaczcionkaakapitu"/>
    <w:semiHidden/>
    <w:unhideWhenUsed/>
    <w:rsid w:val="006C286D"/>
    <w:rPr>
      <w:rFonts w:ascii="Consolas" w:hAnsi="Consolas"/>
      <w:sz w:val="24"/>
      <w:szCs w:val="24"/>
      <w:lang w:val="en-US"/>
    </w:rPr>
  </w:style>
  <w:style w:type="character" w:styleId="HTML-staaszeroko">
    <w:name w:val="HTML Typewriter"/>
    <w:basedOn w:val="Domylnaczcionkaakapitu"/>
    <w:semiHidden/>
    <w:unhideWhenUsed/>
    <w:rsid w:val="006C286D"/>
    <w:rPr>
      <w:rFonts w:ascii="Consolas" w:hAnsi="Consolas"/>
      <w:sz w:val="20"/>
      <w:szCs w:val="20"/>
      <w:lang w:val="en-US"/>
    </w:rPr>
  </w:style>
  <w:style w:type="character" w:styleId="HTML-zmienna">
    <w:name w:val="HTML Variable"/>
    <w:basedOn w:val="Domylnaczcionkaakapitu"/>
    <w:semiHidden/>
    <w:unhideWhenUsed/>
    <w:rsid w:val="006C286D"/>
    <w:rPr>
      <w:i/>
      <w:iCs/>
      <w:lang w:val="en-US"/>
    </w:rPr>
  </w:style>
  <w:style w:type="paragraph" w:styleId="Indeks1">
    <w:name w:val="index 1"/>
    <w:basedOn w:val="Normalny"/>
    <w:next w:val="Normalny"/>
    <w:autoRedefine/>
    <w:semiHidden/>
    <w:unhideWhenUsed/>
    <w:rsid w:val="006C286D"/>
    <w:pPr>
      <w:spacing w:after="0" w:line="240" w:lineRule="auto"/>
      <w:ind w:left="180" w:hanging="180"/>
    </w:pPr>
  </w:style>
  <w:style w:type="paragraph" w:styleId="Indeks2">
    <w:name w:val="index 2"/>
    <w:basedOn w:val="Normalny"/>
    <w:next w:val="Normalny"/>
    <w:autoRedefine/>
    <w:semiHidden/>
    <w:unhideWhenUsed/>
    <w:rsid w:val="006C286D"/>
    <w:pPr>
      <w:spacing w:after="0" w:line="240" w:lineRule="auto"/>
      <w:ind w:left="360" w:hanging="180"/>
    </w:pPr>
  </w:style>
  <w:style w:type="paragraph" w:styleId="Indeks3">
    <w:name w:val="index 3"/>
    <w:basedOn w:val="Normalny"/>
    <w:next w:val="Normalny"/>
    <w:autoRedefine/>
    <w:semiHidden/>
    <w:unhideWhenUsed/>
    <w:rsid w:val="006C286D"/>
    <w:pPr>
      <w:spacing w:after="0" w:line="240" w:lineRule="auto"/>
      <w:ind w:left="540" w:hanging="180"/>
    </w:pPr>
  </w:style>
  <w:style w:type="paragraph" w:styleId="Indeks4">
    <w:name w:val="index 4"/>
    <w:basedOn w:val="Normalny"/>
    <w:next w:val="Normalny"/>
    <w:autoRedefine/>
    <w:semiHidden/>
    <w:unhideWhenUsed/>
    <w:rsid w:val="006C286D"/>
    <w:pPr>
      <w:spacing w:after="0" w:line="240" w:lineRule="auto"/>
      <w:ind w:left="720" w:hanging="180"/>
    </w:pPr>
  </w:style>
  <w:style w:type="paragraph" w:styleId="Indeks5">
    <w:name w:val="index 5"/>
    <w:basedOn w:val="Normalny"/>
    <w:next w:val="Normalny"/>
    <w:autoRedefine/>
    <w:semiHidden/>
    <w:unhideWhenUsed/>
    <w:rsid w:val="006C286D"/>
    <w:pPr>
      <w:spacing w:after="0" w:line="240" w:lineRule="auto"/>
      <w:ind w:left="900" w:hanging="180"/>
    </w:pPr>
  </w:style>
  <w:style w:type="paragraph" w:styleId="Indeks6">
    <w:name w:val="index 6"/>
    <w:basedOn w:val="Normalny"/>
    <w:next w:val="Normalny"/>
    <w:autoRedefine/>
    <w:semiHidden/>
    <w:unhideWhenUsed/>
    <w:rsid w:val="006C286D"/>
    <w:pPr>
      <w:spacing w:after="0" w:line="240" w:lineRule="auto"/>
      <w:ind w:left="1080" w:hanging="180"/>
    </w:pPr>
  </w:style>
  <w:style w:type="paragraph" w:styleId="Indeks7">
    <w:name w:val="index 7"/>
    <w:basedOn w:val="Normalny"/>
    <w:next w:val="Normalny"/>
    <w:autoRedefine/>
    <w:semiHidden/>
    <w:unhideWhenUsed/>
    <w:rsid w:val="006C286D"/>
    <w:pPr>
      <w:spacing w:after="0" w:line="240" w:lineRule="auto"/>
      <w:ind w:left="1260" w:hanging="180"/>
    </w:pPr>
  </w:style>
  <w:style w:type="paragraph" w:styleId="Indeks8">
    <w:name w:val="index 8"/>
    <w:basedOn w:val="Normalny"/>
    <w:next w:val="Normalny"/>
    <w:autoRedefine/>
    <w:semiHidden/>
    <w:unhideWhenUsed/>
    <w:rsid w:val="006C286D"/>
    <w:pPr>
      <w:spacing w:after="0" w:line="240" w:lineRule="auto"/>
      <w:ind w:left="1440" w:hanging="180"/>
    </w:pPr>
  </w:style>
  <w:style w:type="paragraph" w:styleId="Indeks9">
    <w:name w:val="index 9"/>
    <w:basedOn w:val="Normalny"/>
    <w:next w:val="Normalny"/>
    <w:autoRedefine/>
    <w:semiHidden/>
    <w:unhideWhenUsed/>
    <w:rsid w:val="006C286D"/>
    <w:pPr>
      <w:spacing w:after="0" w:line="240" w:lineRule="auto"/>
      <w:ind w:left="1620" w:hanging="180"/>
    </w:pPr>
  </w:style>
  <w:style w:type="paragraph" w:styleId="Nagwekindeksu">
    <w:name w:val="index heading"/>
    <w:basedOn w:val="Normalny"/>
    <w:next w:val="Indeks1"/>
    <w:semiHidden/>
    <w:unhideWhenUsed/>
    <w:rsid w:val="006C286D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rsid w:val="006C286D"/>
    <w:rPr>
      <w:i/>
      <w:iCs/>
      <w:color w:val="4F2D7F" w:themeColor="accent1"/>
      <w:lang w:val="en-US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rsid w:val="006C286D"/>
    <w:pPr>
      <w:pBdr>
        <w:top w:val="single" w:sz="4" w:space="10" w:color="4F2D7F" w:themeColor="accent1"/>
        <w:bottom w:val="single" w:sz="4" w:space="10" w:color="4F2D7F" w:themeColor="accent1"/>
      </w:pBdr>
      <w:spacing w:before="360" w:after="360"/>
      <w:ind w:left="864" w:right="864"/>
      <w:jc w:val="center"/>
    </w:pPr>
    <w:rPr>
      <w:i/>
      <w:iCs/>
      <w:color w:val="4F2D7F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6C286D"/>
    <w:rPr>
      <w:rFonts w:asciiTheme="minorHAnsi" w:hAnsiTheme="minorHAnsi" w:cs="Arial"/>
      <w:i/>
      <w:iCs/>
      <w:color w:val="4F2D7F" w:themeColor="accent1"/>
      <w:sz w:val="18"/>
      <w:lang w:val="en-US"/>
    </w:rPr>
  </w:style>
  <w:style w:type="character" w:styleId="Odwoanieintensywne">
    <w:name w:val="Intense Reference"/>
    <w:basedOn w:val="Domylnaczcionkaakapitu"/>
    <w:uiPriority w:val="32"/>
    <w:semiHidden/>
    <w:unhideWhenUsed/>
    <w:rsid w:val="006C286D"/>
    <w:rPr>
      <w:b/>
      <w:bCs/>
      <w:smallCaps/>
      <w:color w:val="4F2D7F" w:themeColor="accent1"/>
      <w:spacing w:val="5"/>
      <w:lang w:val="en-US"/>
    </w:rPr>
  </w:style>
  <w:style w:type="table" w:styleId="Jasnasiatka">
    <w:name w:val="Light Grid"/>
    <w:basedOn w:val="Standardowy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1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  <w:shd w:val="clear" w:color="auto" w:fill="D1C1E9" w:themeFill="accent1" w:themeFillTint="3F"/>
      </w:tcPr>
    </w:tblStylePr>
    <w:tblStylePr w:type="band2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1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  <w:shd w:val="clear" w:color="auto" w:fill="F1EEEB" w:themeFill="accent2" w:themeFillTint="3F"/>
      </w:tcPr>
    </w:tblStylePr>
    <w:tblStylePr w:type="band2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1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  <w:shd w:val="clear" w:color="auto" w:fill="ADF8FF" w:themeFill="accent3" w:themeFillTint="3F"/>
      </w:tcPr>
    </w:tblStylePr>
    <w:tblStylePr w:type="band2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1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  <w:shd w:val="clear" w:color="auto" w:fill="FFDEC7" w:themeFill="accent4" w:themeFillTint="3F"/>
      </w:tcPr>
    </w:tblStylePr>
    <w:tblStylePr w:type="band2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1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  <w:shd w:val="clear" w:color="auto" w:fill="E6F5CC" w:themeFill="accent5" w:themeFillTint="3F"/>
      </w:tcPr>
    </w:tblStylePr>
    <w:tblStylePr w:type="band2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1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  <w:shd w:val="clear" w:color="auto" w:fill="F9C9CF" w:themeFill="accent6" w:themeFillTint="3F"/>
      </w:tcPr>
    </w:tblStylePr>
    <w:tblStylePr w:type="band2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6C286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</w:style>
  <w:style w:type="character" w:styleId="Numerwiersza">
    <w:name w:val="line number"/>
    <w:basedOn w:val="Domylnaczcionkaakapitu"/>
    <w:semiHidden/>
    <w:unhideWhenUsed/>
    <w:rsid w:val="006C286D"/>
    <w:rPr>
      <w:lang w:val="en-US"/>
    </w:rPr>
  </w:style>
  <w:style w:type="paragraph" w:styleId="Lista">
    <w:name w:val="List"/>
    <w:basedOn w:val="Normalny"/>
    <w:semiHidden/>
    <w:unhideWhenUsed/>
    <w:rsid w:val="006C286D"/>
    <w:pPr>
      <w:ind w:left="283" w:hanging="283"/>
      <w:contextualSpacing/>
    </w:pPr>
  </w:style>
  <w:style w:type="paragraph" w:styleId="Lista2">
    <w:name w:val="List 2"/>
    <w:basedOn w:val="Normalny"/>
    <w:semiHidden/>
    <w:rsid w:val="006C286D"/>
    <w:pPr>
      <w:ind w:left="566" w:hanging="283"/>
      <w:contextualSpacing/>
    </w:pPr>
  </w:style>
  <w:style w:type="paragraph" w:styleId="Lista3">
    <w:name w:val="List 3"/>
    <w:basedOn w:val="Normalny"/>
    <w:semiHidden/>
    <w:unhideWhenUsed/>
    <w:rsid w:val="006C286D"/>
    <w:pPr>
      <w:ind w:left="849" w:hanging="283"/>
      <w:contextualSpacing/>
    </w:pPr>
  </w:style>
  <w:style w:type="paragraph" w:styleId="Lista4">
    <w:name w:val="List 4"/>
    <w:basedOn w:val="Normalny"/>
    <w:semiHidden/>
    <w:unhideWhenUsed/>
    <w:rsid w:val="006C286D"/>
    <w:pPr>
      <w:ind w:left="1132" w:hanging="283"/>
      <w:contextualSpacing/>
    </w:pPr>
  </w:style>
  <w:style w:type="paragraph" w:styleId="Lista5">
    <w:name w:val="List 5"/>
    <w:basedOn w:val="Normalny"/>
    <w:semiHidden/>
    <w:unhideWhenUsed/>
    <w:rsid w:val="006C286D"/>
    <w:pPr>
      <w:ind w:left="1415" w:hanging="283"/>
      <w:contextualSpacing/>
    </w:pPr>
  </w:style>
  <w:style w:type="paragraph" w:styleId="Listapunktowana3">
    <w:name w:val="List Bullet 3"/>
    <w:basedOn w:val="Normalny"/>
    <w:uiPriority w:val="1"/>
    <w:qFormat/>
    <w:rsid w:val="00364323"/>
    <w:pPr>
      <w:numPr>
        <w:ilvl w:val="2"/>
        <w:numId w:val="17"/>
      </w:numPr>
      <w:contextualSpacing/>
    </w:pPr>
    <w:rPr>
      <w:lang w:val="pl-PL"/>
    </w:rPr>
  </w:style>
  <w:style w:type="paragraph" w:styleId="Listapunktowana4">
    <w:name w:val="List Bullet 4"/>
    <w:basedOn w:val="Normalny"/>
    <w:semiHidden/>
    <w:unhideWhenUsed/>
    <w:rsid w:val="006C286D"/>
    <w:pPr>
      <w:numPr>
        <w:numId w:val="7"/>
      </w:numPr>
      <w:contextualSpacing/>
    </w:pPr>
  </w:style>
  <w:style w:type="paragraph" w:styleId="Listapunktowana5">
    <w:name w:val="List Bullet 5"/>
    <w:basedOn w:val="Normalny"/>
    <w:semiHidden/>
    <w:unhideWhenUsed/>
    <w:rsid w:val="006C286D"/>
    <w:pPr>
      <w:numPr>
        <w:numId w:val="8"/>
      </w:numPr>
      <w:contextualSpacing/>
    </w:pPr>
  </w:style>
  <w:style w:type="paragraph" w:styleId="Lista-kontynuacja">
    <w:name w:val="List Continue"/>
    <w:basedOn w:val="Normalny"/>
    <w:semiHidden/>
    <w:unhideWhenUsed/>
    <w:rsid w:val="006C286D"/>
    <w:pPr>
      <w:ind w:left="283"/>
      <w:contextualSpacing/>
    </w:pPr>
  </w:style>
  <w:style w:type="paragraph" w:styleId="Lista-kontynuacja2">
    <w:name w:val="List Continue 2"/>
    <w:basedOn w:val="Normalny"/>
    <w:semiHidden/>
    <w:unhideWhenUsed/>
    <w:rsid w:val="006C286D"/>
    <w:pPr>
      <w:ind w:left="566"/>
      <w:contextualSpacing/>
    </w:pPr>
  </w:style>
  <w:style w:type="paragraph" w:styleId="Lista-kontynuacja3">
    <w:name w:val="List Continue 3"/>
    <w:basedOn w:val="Normalny"/>
    <w:semiHidden/>
    <w:unhideWhenUsed/>
    <w:rsid w:val="006C286D"/>
    <w:pPr>
      <w:ind w:left="849"/>
      <w:contextualSpacing/>
    </w:pPr>
  </w:style>
  <w:style w:type="paragraph" w:styleId="Lista-kontynuacja4">
    <w:name w:val="List Continue 4"/>
    <w:basedOn w:val="Normalny"/>
    <w:semiHidden/>
    <w:rsid w:val="006C286D"/>
    <w:pPr>
      <w:ind w:left="1132"/>
      <w:contextualSpacing/>
    </w:pPr>
  </w:style>
  <w:style w:type="paragraph" w:styleId="Lista-kontynuacja5">
    <w:name w:val="List Continue 5"/>
    <w:basedOn w:val="Normalny"/>
    <w:semiHidden/>
    <w:rsid w:val="006C286D"/>
    <w:pPr>
      <w:ind w:left="1415"/>
      <w:contextualSpacing/>
    </w:pPr>
  </w:style>
  <w:style w:type="paragraph" w:styleId="Listanumerowana4">
    <w:name w:val="List Number 4"/>
    <w:basedOn w:val="Normalny"/>
    <w:semiHidden/>
    <w:unhideWhenUsed/>
    <w:rsid w:val="006C286D"/>
    <w:pPr>
      <w:numPr>
        <w:numId w:val="9"/>
      </w:numPr>
      <w:contextualSpacing/>
    </w:pPr>
  </w:style>
  <w:style w:type="paragraph" w:styleId="Listanumerowana5">
    <w:name w:val="List Number 5"/>
    <w:basedOn w:val="Normalny"/>
    <w:semiHidden/>
    <w:unhideWhenUsed/>
    <w:rsid w:val="006C286D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rsid w:val="006C286D"/>
    <w:pPr>
      <w:ind w:left="720"/>
      <w:contextualSpacing/>
    </w:pPr>
  </w:style>
  <w:style w:type="table" w:customStyle="1" w:styleId="Tabelalisty1jasna1">
    <w:name w:val="Tabela listy 1 — jasna1"/>
    <w:basedOn w:val="Standardowy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6C286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6C286D"/>
    <w:tblPr>
      <w:tblStyleRowBandSize w:val="1"/>
      <w:tblStyleColBandSize w:val="1"/>
      <w:tblBorders>
        <w:top w:val="single" w:sz="4" w:space="0" w:color="9069CA" w:themeColor="accent1" w:themeTint="99"/>
        <w:bottom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6C286D"/>
    <w:tblPr>
      <w:tblStyleRowBandSize w:val="1"/>
      <w:tblStyleColBandSize w:val="1"/>
      <w:tblBorders>
        <w:top w:val="single" w:sz="4" w:space="0" w:color="DED8CF" w:themeColor="accent2" w:themeTint="99"/>
        <w:bottom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6C286D"/>
    <w:tblPr>
      <w:tblStyleRowBandSize w:val="1"/>
      <w:tblStyleColBandSize w:val="1"/>
      <w:tblBorders>
        <w:top w:val="single" w:sz="4" w:space="0" w:color="39EFFF" w:themeColor="accent3" w:themeTint="99"/>
        <w:bottom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6C286D"/>
    <w:tblPr>
      <w:tblStyleRowBandSize w:val="1"/>
      <w:tblStyleColBandSize w:val="1"/>
      <w:tblBorders>
        <w:top w:val="single" w:sz="4" w:space="0" w:color="FFB078" w:themeColor="accent4" w:themeTint="99"/>
        <w:bottom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6C286D"/>
    <w:tblPr>
      <w:tblStyleRowBandSize w:val="1"/>
      <w:tblStyleColBandSize w:val="1"/>
      <w:tblBorders>
        <w:top w:val="single" w:sz="4" w:space="0" w:color="C2E784" w:themeColor="accent5" w:themeTint="99"/>
        <w:bottom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6C286D"/>
    <w:tblPr>
      <w:tblStyleRowBandSize w:val="1"/>
      <w:tblStyleColBandSize w:val="1"/>
      <w:tblBorders>
        <w:top w:val="single" w:sz="4" w:space="0" w:color="F17D8C" w:themeColor="accent6" w:themeTint="99"/>
        <w:bottom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4F2D7F" w:themeColor="accent1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2D7F" w:themeColor="accent1"/>
          <w:right w:val="single" w:sz="4" w:space="0" w:color="4F2D7F" w:themeColor="accent1"/>
        </w:tcBorders>
      </w:tcPr>
    </w:tblStylePr>
    <w:tblStylePr w:type="band1Horz">
      <w:tblPr/>
      <w:tcPr>
        <w:tcBorders>
          <w:top w:val="single" w:sz="4" w:space="0" w:color="4F2D7F" w:themeColor="accent1"/>
          <w:bottom w:val="single" w:sz="4" w:space="0" w:color="4F2D7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2D7F" w:themeColor="accent1"/>
          <w:left w:val="nil"/>
        </w:tcBorders>
      </w:tcPr>
    </w:tblStylePr>
    <w:tblStylePr w:type="swCell">
      <w:tblPr/>
      <w:tcPr>
        <w:tcBorders>
          <w:top w:val="double" w:sz="4" w:space="0" w:color="4F2D7F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BEAF" w:themeColor="accent2"/>
          <w:right w:val="single" w:sz="4" w:space="0" w:color="C8BEAF" w:themeColor="accent2"/>
        </w:tcBorders>
      </w:tcPr>
    </w:tblStylePr>
    <w:tblStylePr w:type="band1Horz">
      <w:tblPr/>
      <w:tcPr>
        <w:tcBorders>
          <w:top w:val="single" w:sz="4" w:space="0" w:color="C8BEAF" w:themeColor="accent2"/>
          <w:bottom w:val="single" w:sz="4" w:space="0" w:color="C8BEA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BEAF" w:themeColor="accent2"/>
          <w:left w:val="nil"/>
        </w:tcBorders>
      </w:tcPr>
    </w:tblStylePr>
    <w:tblStylePr w:type="swCell">
      <w:tblPr/>
      <w:tcPr>
        <w:tcBorders>
          <w:top w:val="double" w:sz="4" w:space="0" w:color="C8BEAF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00A7B5" w:themeColor="accent3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7B5" w:themeColor="accent3"/>
          <w:right w:val="single" w:sz="4" w:space="0" w:color="00A7B5" w:themeColor="accent3"/>
        </w:tcBorders>
      </w:tcPr>
    </w:tblStylePr>
    <w:tblStylePr w:type="band1Horz">
      <w:tblPr/>
      <w:tcPr>
        <w:tcBorders>
          <w:top w:val="single" w:sz="4" w:space="0" w:color="00A7B5" w:themeColor="accent3"/>
          <w:bottom w:val="single" w:sz="4" w:space="0" w:color="00A7B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7B5" w:themeColor="accent3"/>
          <w:left w:val="nil"/>
        </w:tcBorders>
      </w:tcPr>
    </w:tblStylePr>
    <w:tblStylePr w:type="swCell">
      <w:tblPr/>
      <w:tcPr>
        <w:tcBorders>
          <w:top w:val="double" w:sz="4" w:space="0" w:color="00A7B5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FF7D1E" w:themeColor="accent4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D1E" w:themeColor="accent4"/>
          <w:right w:val="single" w:sz="4" w:space="0" w:color="FF7D1E" w:themeColor="accent4"/>
        </w:tcBorders>
      </w:tcPr>
    </w:tblStylePr>
    <w:tblStylePr w:type="band1Horz">
      <w:tblPr/>
      <w:tcPr>
        <w:tcBorders>
          <w:top w:val="single" w:sz="4" w:space="0" w:color="FF7D1E" w:themeColor="accent4"/>
          <w:bottom w:val="single" w:sz="4" w:space="0" w:color="FF7D1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D1E" w:themeColor="accent4"/>
          <w:left w:val="nil"/>
        </w:tcBorders>
      </w:tcPr>
    </w:tblStylePr>
    <w:tblStylePr w:type="swCell">
      <w:tblPr/>
      <w:tcPr>
        <w:tcBorders>
          <w:top w:val="double" w:sz="4" w:space="0" w:color="FF7D1E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9BD732" w:themeColor="accent5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D732" w:themeColor="accent5"/>
          <w:right w:val="single" w:sz="4" w:space="0" w:color="9BD732" w:themeColor="accent5"/>
        </w:tcBorders>
      </w:tcPr>
    </w:tblStylePr>
    <w:tblStylePr w:type="band1Horz">
      <w:tblPr/>
      <w:tcPr>
        <w:tcBorders>
          <w:top w:val="single" w:sz="4" w:space="0" w:color="9BD732" w:themeColor="accent5"/>
          <w:bottom w:val="single" w:sz="4" w:space="0" w:color="9BD7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D732" w:themeColor="accent5"/>
          <w:left w:val="nil"/>
        </w:tcBorders>
      </w:tcPr>
    </w:tblStylePr>
    <w:tblStylePr w:type="swCell">
      <w:tblPr/>
      <w:tcPr>
        <w:tcBorders>
          <w:top w:val="double" w:sz="4" w:space="0" w:color="9BD732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E92841" w:themeColor="accent6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2841" w:themeColor="accent6"/>
          <w:right w:val="single" w:sz="4" w:space="0" w:color="E92841" w:themeColor="accent6"/>
        </w:tcBorders>
      </w:tcPr>
    </w:tblStylePr>
    <w:tblStylePr w:type="band1Horz">
      <w:tblPr/>
      <w:tcPr>
        <w:tcBorders>
          <w:top w:val="single" w:sz="4" w:space="0" w:color="E92841" w:themeColor="accent6"/>
          <w:bottom w:val="single" w:sz="4" w:space="0" w:color="E9284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2841" w:themeColor="accent6"/>
          <w:left w:val="nil"/>
        </w:tcBorders>
      </w:tcPr>
    </w:tblStylePr>
    <w:tblStylePr w:type="swCell">
      <w:tblPr/>
      <w:tcPr>
        <w:tcBorders>
          <w:top w:val="double" w:sz="4" w:space="0" w:color="E92841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4F2D7F" w:themeColor="accent1"/>
        <w:left w:val="single" w:sz="24" w:space="0" w:color="4F2D7F" w:themeColor="accent1"/>
        <w:bottom w:val="single" w:sz="24" w:space="0" w:color="4F2D7F" w:themeColor="accent1"/>
        <w:right w:val="single" w:sz="24" w:space="0" w:color="4F2D7F" w:themeColor="accent1"/>
      </w:tblBorders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C8BEAF" w:themeColor="accent2"/>
        <w:left w:val="single" w:sz="24" w:space="0" w:color="C8BEAF" w:themeColor="accent2"/>
        <w:bottom w:val="single" w:sz="24" w:space="0" w:color="C8BEAF" w:themeColor="accent2"/>
        <w:right w:val="single" w:sz="24" w:space="0" w:color="C8BEAF" w:themeColor="accent2"/>
      </w:tblBorders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00A7B5" w:themeColor="accent3"/>
        <w:left w:val="single" w:sz="24" w:space="0" w:color="00A7B5" w:themeColor="accent3"/>
        <w:bottom w:val="single" w:sz="24" w:space="0" w:color="00A7B5" w:themeColor="accent3"/>
        <w:right w:val="single" w:sz="24" w:space="0" w:color="00A7B5" w:themeColor="accent3"/>
      </w:tblBorders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FF7D1E" w:themeColor="accent4"/>
        <w:left w:val="single" w:sz="24" w:space="0" w:color="FF7D1E" w:themeColor="accent4"/>
        <w:bottom w:val="single" w:sz="24" w:space="0" w:color="FF7D1E" w:themeColor="accent4"/>
        <w:right w:val="single" w:sz="24" w:space="0" w:color="FF7D1E" w:themeColor="accent4"/>
      </w:tblBorders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9BD732" w:themeColor="accent5"/>
        <w:left w:val="single" w:sz="24" w:space="0" w:color="9BD732" w:themeColor="accent5"/>
        <w:bottom w:val="single" w:sz="24" w:space="0" w:color="9BD732" w:themeColor="accent5"/>
        <w:right w:val="single" w:sz="24" w:space="0" w:color="9BD732" w:themeColor="accent5"/>
      </w:tblBorders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E92841" w:themeColor="accent6"/>
        <w:left w:val="single" w:sz="24" w:space="0" w:color="E92841" w:themeColor="accent6"/>
        <w:bottom w:val="single" w:sz="24" w:space="0" w:color="E92841" w:themeColor="accent6"/>
        <w:right w:val="single" w:sz="24" w:space="0" w:color="E92841" w:themeColor="accent6"/>
      </w:tblBorders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6C286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4" w:space="0" w:color="4F2D7F" w:themeColor="accent1"/>
        <w:bottom w:val="single" w:sz="4" w:space="0" w:color="4F2D7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2D7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4" w:space="0" w:color="C8BEAF" w:themeColor="accent2"/>
        <w:bottom w:val="single" w:sz="4" w:space="0" w:color="C8BEA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BEA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4" w:space="0" w:color="00A7B5" w:themeColor="accent3"/>
        <w:bottom w:val="single" w:sz="4" w:space="0" w:color="00A7B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7B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7D1E" w:themeColor="accent4"/>
        <w:bottom w:val="single" w:sz="4" w:space="0" w:color="FF7D1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7D1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4" w:space="0" w:color="9BD732" w:themeColor="accent5"/>
        <w:bottom w:val="single" w:sz="4" w:space="0" w:color="9BD7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BD7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4" w:space="0" w:color="E92841" w:themeColor="accent6"/>
        <w:bottom w:val="single" w:sz="4" w:space="0" w:color="E9284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284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6C286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6C286D"/>
    <w:rPr>
      <w:color w:val="3A215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2D7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2D7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2D7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2D7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6C286D"/>
    <w:rPr>
      <w:color w:val="A190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BEA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BEA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BEA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BEA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6C286D"/>
    <w:rPr>
      <w:color w:val="007C8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7B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7B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7B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7B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6C286D"/>
    <w:rPr>
      <w:color w:val="D559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D1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D1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D1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D1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6C286D"/>
    <w:rPr>
      <w:color w:val="75A5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D7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D7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D7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D7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6C286D"/>
    <w:rPr>
      <w:color w:val="B9132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284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284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284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284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  <w:insideV w:val="single" w:sz="8" w:space="0" w:color="7543BC" w:themeColor="accent1" w:themeTint="BF"/>
      </w:tblBorders>
    </w:tblPr>
    <w:tcPr>
      <w:shd w:val="clear" w:color="auto" w:fill="D1C1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43B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  <w:insideV w:val="single" w:sz="8" w:space="0" w:color="D5CEC2" w:themeColor="accent2" w:themeTint="BF"/>
      </w:tblBorders>
    </w:tblPr>
    <w:tcPr>
      <w:shd w:val="clear" w:color="auto" w:fill="F1EE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EC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  <w:insideV w:val="single" w:sz="8" w:space="0" w:color="08EBFF" w:themeColor="accent3" w:themeTint="BF"/>
      </w:tblBorders>
    </w:tblPr>
    <w:tcPr>
      <w:shd w:val="clear" w:color="auto" w:fill="ADF8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  <w:insideV w:val="single" w:sz="8" w:space="0" w:color="FF9D56" w:themeColor="accent4" w:themeTint="BF"/>
      </w:tblBorders>
    </w:tblPr>
    <w:tcPr>
      <w:shd w:val="clear" w:color="auto" w:fill="FFDEC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D5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  <w:insideV w:val="single" w:sz="8" w:space="0" w:color="B3E165" w:themeColor="accent5" w:themeTint="BF"/>
      </w:tblBorders>
    </w:tblPr>
    <w:tcPr>
      <w:shd w:val="clear" w:color="auto" w:fill="E6F5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E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  <w:insideV w:val="single" w:sz="8" w:space="0" w:color="EE5D70" w:themeColor="accent6" w:themeTint="BF"/>
      </w:tblBorders>
    </w:tblPr>
    <w:tcPr>
      <w:shd w:val="clear" w:color="auto" w:fill="F9C9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5D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cPr>
      <w:shd w:val="clear" w:color="auto" w:fill="D1C1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DED" w:themeFill="accent1" w:themeFillTint="33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tcBorders>
          <w:insideH w:val="single" w:sz="6" w:space="0" w:color="4F2D7F" w:themeColor="accent1"/>
          <w:insideV w:val="single" w:sz="6" w:space="0" w:color="4F2D7F" w:themeColor="accent1"/>
        </w:tcBorders>
        <w:shd w:val="clear" w:color="auto" w:fill="A382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cPr>
      <w:shd w:val="clear" w:color="auto" w:fill="F1EE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F" w:themeFill="accent2" w:themeFillTint="33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tcBorders>
          <w:insideH w:val="single" w:sz="6" w:space="0" w:color="C8BEAF" w:themeColor="accent2"/>
          <w:insideV w:val="single" w:sz="6" w:space="0" w:color="C8BEAF" w:themeColor="accent2"/>
        </w:tcBorders>
        <w:shd w:val="clear" w:color="auto" w:fill="E3DE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cPr>
      <w:shd w:val="clear" w:color="auto" w:fill="ADF8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3" w:themeFillTint="33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tcBorders>
          <w:insideH w:val="single" w:sz="6" w:space="0" w:color="00A7B5" w:themeColor="accent3"/>
          <w:insideV w:val="single" w:sz="6" w:space="0" w:color="00A7B5" w:themeColor="accent3"/>
        </w:tcBorders>
        <w:shd w:val="clear" w:color="auto" w:fill="5BF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cPr>
      <w:shd w:val="clear" w:color="auto" w:fill="FFDE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D2" w:themeFill="accent4" w:themeFillTint="33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tcBorders>
          <w:insideH w:val="single" w:sz="6" w:space="0" w:color="FF7D1E" w:themeColor="accent4"/>
          <w:insideV w:val="single" w:sz="6" w:space="0" w:color="FF7D1E" w:themeColor="accent4"/>
        </w:tcBorders>
        <w:shd w:val="clear" w:color="auto" w:fill="FFBD8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cPr>
      <w:shd w:val="clear" w:color="auto" w:fill="E6F5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7D6" w:themeFill="accent5" w:themeFillTint="33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tcBorders>
          <w:insideH w:val="single" w:sz="6" w:space="0" w:color="9BD732" w:themeColor="accent5"/>
          <w:insideV w:val="single" w:sz="6" w:space="0" w:color="9BD732" w:themeColor="accent5"/>
        </w:tcBorders>
        <w:shd w:val="clear" w:color="auto" w:fill="CDEB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cPr>
      <w:shd w:val="clear" w:color="auto" w:fill="F9C9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3D8" w:themeFill="accent6" w:themeFillTint="33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tcBorders>
          <w:insideH w:val="single" w:sz="6" w:space="0" w:color="E92841" w:themeColor="accent6"/>
          <w:insideV w:val="single" w:sz="6" w:space="0" w:color="E92841" w:themeColor="accent6"/>
        </w:tcBorders>
        <w:shd w:val="clear" w:color="auto" w:fill="F493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C1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82D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82D3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E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E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ED7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C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8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8E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5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EB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EB98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9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93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93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2D7F" w:themeColor="accen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shd w:val="clear" w:color="auto" w:fill="D1C1E9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BEAF" w:themeColor="accent2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shd w:val="clear" w:color="auto" w:fill="F1EEE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3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shd w:val="clear" w:color="auto" w:fill="ADF8FF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D1E" w:themeColor="accent4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shd w:val="clear" w:color="auto" w:fill="FFDEC7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D732" w:themeColor="accent5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shd w:val="clear" w:color="auto" w:fill="E6F5CC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2841" w:themeColor="accent6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shd w:val="clear" w:color="auto" w:fill="F9C9CF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2D7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2D7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2D7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C1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BEA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BEA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E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D1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D1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D7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D7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284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284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9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E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C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9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omylnaczcionkaakapitu"/>
    <w:uiPriority w:val="99"/>
    <w:semiHidden/>
    <w:unhideWhenUsed/>
    <w:rsid w:val="006C286D"/>
    <w:rPr>
      <w:color w:val="2B579A"/>
      <w:shd w:val="clear" w:color="auto" w:fill="E6E6E6"/>
      <w:lang w:val="en-US"/>
    </w:rPr>
  </w:style>
  <w:style w:type="paragraph" w:styleId="Nagwekwiadomoci">
    <w:name w:val="Message Header"/>
    <w:basedOn w:val="Normalny"/>
    <w:link w:val="NagwekwiadomociZnak"/>
    <w:semiHidden/>
    <w:rsid w:val="006C28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semiHidden/>
    <w:rsid w:val="006C286D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nyWeb">
    <w:name w:val="Normal (Web)"/>
    <w:basedOn w:val="Normalny"/>
    <w:semiHidden/>
    <w:unhideWhenUsed/>
    <w:rsid w:val="006C286D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semiHidden/>
    <w:unhideWhenUsed/>
    <w:rsid w:val="006C286D"/>
    <w:pPr>
      <w:ind w:left="720"/>
    </w:pPr>
  </w:style>
  <w:style w:type="paragraph" w:styleId="Nagweknotatki">
    <w:name w:val="Note Heading"/>
    <w:basedOn w:val="Normalny"/>
    <w:next w:val="Normalny"/>
    <w:link w:val="NagweknotatkiZnak"/>
    <w:semiHidden/>
    <w:unhideWhenUsed/>
    <w:rsid w:val="006C286D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semiHidden/>
    <w:rsid w:val="006C286D"/>
    <w:rPr>
      <w:rFonts w:asciiTheme="minorHAnsi" w:hAnsiTheme="minorHAnsi" w:cs="Arial"/>
      <w:sz w:val="18"/>
      <w:lang w:val="en-US"/>
    </w:rPr>
  </w:style>
  <w:style w:type="character" w:styleId="Tekstzastpczy">
    <w:name w:val="Placeholder Text"/>
    <w:basedOn w:val="Domylnaczcionkaakapitu"/>
    <w:uiPriority w:val="99"/>
    <w:semiHidden/>
    <w:rsid w:val="006C286D"/>
    <w:rPr>
      <w:color w:val="808080"/>
      <w:lang w:val="en-US"/>
    </w:rPr>
  </w:style>
  <w:style w:type="table" w:customStyle="1" w:styleId="Zwykatabela11">
    <w:name w:val="Zwykła tabela 11"/>
    <w:basedOn w:val="Standardowy"/>
    <w:uiPriority w:val="41"/>
    <w:rsid w:val="006C286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6C286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6C286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6C286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6C286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rotgrzecznociowy">
    <w:name w:val="Salutation"/>
    <w:basedOn w:val="Normalny"/>
    <w:next w:val="Normalny"/>
    <w:link w:val="ZwrotgrzecznociowyZnak"/>
    <w:semiHidden/>
    <w:unhideWhenUsed/>
    <w:rsid w:val="006C286D"/>
  </w:style>
  <w:style w:type="character" w:customStyle="1" w:styleId="ZwrotgrzecznociowyZnak">
    <w:name w:val="Zwrot grzecznościowy Znak"/>
    <w:basedOn w:val="Domylnaczcionkaakapitu"/>
    <w:link w:val="Zwrotgrzecznociowy"/>
    <w:semiHidden/>
    <w:rsid w:val="006C286D"/>
    <w:rPr>
      <w:rFonts w:asciiTheme="minorHAnsi" w:hAnsiTheme="minorHAnsi" w:cs="Arial"/>
      <w:sz w:val="18"/>
      <w:lang w:val="en-US"/>
    </w:rPr>
  </w:style>
  <w:style w:type="paragraph" w:styleId="Podpis">
    <w:name w:val="Signature"/>
    <w:basedOn w:val="Normalny"/>
    <w:link w:val="PodpisZnak"/>
    <w:semiHidden/>
    <w:unhideWhenUsed/>
    <w:rsid w:val="006C286D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semiHidden/>
    <w:rsid w:val="006C286D"/>
    <w:rPr>
      <w:rFonts w:asciiTheme="minorHAnsi" w:hAnsiTheme="minorHAnsi" w:cs="Arial"/>
      <w:sz w:val="18"/>
      <w:lang w:val="en-US"/>
    </w:rPr>
  </w:style>
  <w:style w:type="character" w:customStyle="1" w:styleId="SmartHyperlink1">
    <w:name w:val="Smart Hyperlink1"/>
    <w:basedOn w:val="Domylnaczcionkaakapitu"/>
    <w:uiPriority w:val="99"/>
    <w:semiHidden/>
    <w:unhideWhenUsed/>
    <w:rsid w:val="006C286D"/>
    <w:rPr>
      <w:u w:val="dotted"/>
      <w:lang w:val="en-US"/>
    </w:rPr>
  </w:style>
  <w:style w:type="character" w:styleId="Pogrubienie">
    <w:name w:val="Strong"/>
    <w:basedOn w:val="Domylnaczcionkaakapitu"/>
    <w:unhideWhenUsed/>
    <w:rsid w:val="006C286D"/>
    <w:rPr>
      <w:b/>
      <w:bCs/>
      <w:lang w:val="en-US"/>
    </w:rPr>
  </w:style>
  <w:style w:type="character" w:styleId="Wyrnieniedelikatne">
    <w:name w:val="Subtle Emphasis"/>
    <w:basedOn w:val="Domylnaczcionkaakapitu"/>
    <w:uiPriority w:val="19"/>
    <w:semiHidden/>
    <w:unhideWhenUsed/>
    <w:rsid w:val="006C286D"/>
    <w:rPr>
      <w:i/>
      <w:iCs/>
      <w:color w:val="404040" w:themeColor="text1" w:themeTint="BF"/>
      <w:lang w:val="en-US"/>
    </w:rPr>
  </w:style>
  <w:style w:type="character" w:styleId="Odwoaniedelikatne">
    <w:name w:val="Subtle Reference"/>
    <w:basedOn w:val="Domylnaczcionkaakapitu"/>
    <w:uiPriority w:val="31"/>
    <w:semiHidden/>
    <w:unhideWhenUsed/>
    <w:rsid w:val="006C286D"/>
    <w:rPr>
      <w:smallCaps/>
      <w:color w:val="5A5A5A" w:themeColor="text1" w:themeTint="A5"/>
      <w:lang w:val="en-US"/>
    </w:rPr>
  </w:style>
  <w:style w:type="table" w:styleId="Tabela-Efekty3D1">
    <w:name w:val="Table 3D effects 1"/>
    <w:basedOn w:val="Standardowy"/>
    <w:semiHidden/>
    <w:unhideWhenUsed/>
    <w:rsid w:val="006C286D"/>
    <w:pPr>
      <w:spacing w:after="120"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semiHidden/>
    <w:unhideWhenUsed/>
    <w:rsid w:val="006C286D"/>
    <w:pPr>
      <w:spacing w:after="120"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semiHidden/>
    <w:unhideWhenUsed/>
    <w:rsid w:val="006C286D"/>
    <w:pPr>
      <w:spacing w:after="120"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semiHidden/>
    <w:unhideWhenUsed/>
    <w:rsid w:val="006C286D"/>
    <w:pPr>
      <w:spacing w:after="120"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semiHidden/>
    <w:unhideWhenUsed/>
    <w:rsid w:val="006C286D"/>
    <w:pPr>
      <w:spacing w:after="120"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semiHidden/>
    <w:unhideWhenUsed/>
    <w:rsid w:val="006C286D"/>
    <w:pPr>
      <w:spacing w:after="120"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semiHidden/>
    <w:unhideWhenUsed/>
    <w:rsid w:val="006C286D"/>
    <w:pPr>
      <w:spacing w:after="120"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semiHidden/>
    <w:unhideWhenUsed/>
    <w:rsid w:val="006C286D"/>
    <w:pPr>
      <w:spacing w:after="120"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semiHidden/>
    <w:unhideWhenUsed/>
    <w:rsid w:val="006C286D"/>
    <w:pPr>
      <w:spacing w:after="120"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semiHidden/>
    <w:unhideWhenUsed/>
    <w:rsid w:val="006C286D"/>
    <w:pPr>
      <w:spacing w:after="120"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semiHidden/>
    <w:unhideWhenUsed/>
    <w:rsid w:val="006C286D"/>
    <w:pPr>
      <w:spacing w:after="120"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semiHidden/>
    <w:unhideWhenUsed/>
    <w:rsid w:val="006C286D"/>
    <w:pPr>
      <w:spacing w:after="120"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semiHidden/>
    <w:unhideWhenUsed/>
    <w:rsid w:val="006C286D"/>
    <w:pPr>
      <w:spacing w:after="120"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semiHidden/>
    <w:unhideWhenUsed/>
    <w:rsid w:val="006C286D"/>
    <w:pPr>
      <w:spacing w:after="120"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semiHidden/>
    <w:unhideWhenUsed/>
    <w:rsid w:val="006C286D"/>
    <w:pPr>
      <w:spacing w:after="120"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semiHidden/>
    <w:unhideWhenUsed/>
    <w:rsid w:val="006C286D"/>
    <w:pPr>
      <w:spacing w:after="120"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semiHidden/>
    <w:unhideWhenUsed/>
    <w:rsid w:val="006C286D"/>
    <w:pPr>
      <w:spacing w:after="120"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6C286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semiHidden/>
    <w:unhideWhenUsed/>
    <w:rsid w:val="006C286D"/>
    <w:pPr>
      <w:spacing w:after="120"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semiHidden/>
    <w:unhideWhenUsed/>
    <w:rsid w:val="006C286D"/>
    <w:pPr>
      <w:spacing w:after="0"/>
      <w:ind w:left="180" w:hanging="180"/>
    </w:pPr>
  </w:style>
  <w:style w:type="paragraph" w:styleId="Spisilustracji">
    <w:name w:val="table of figures"/>
    <w:basedOn w:val="Normalny"/>
    <w:next w:val="Normalny"/>
    <w:semiHidden/>
    <w:unhideWhenUsed/>
    <w:rsid w:val="006C286D"/>
    <w:pPr>
      <w:spacing w:after="0"/>
    </w:pPr>
  </w:style>
  <w:style w:type="table" w:styleId="Tabela-Profesjonalny">
    <w:name w:val="Table Professional"/>
    <w:basedOn w:val="Standardowy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semiHidden/>
    <w:unhideWhenUsed/>
    <w:rsid w:val="006C286D"/>
    <w:pPr>
      <w:spacing w:after="120"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semiHidden/>
    <w:unhideWhenUsed/>
    <w:rsid w:val="006C286D"/>
    <w:pPr>
      <w:spacing w:after="120"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semiHidden/>
    <w:unhideWhenUsed/>
    <w:rsid w:val="006C286D"/>
    <w:pPr>
      <w:spacing w:after="120"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semiHidden/>
    <w:unhideWhenUsed/>
    <w:rsid w:val="006C286D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semiHidden/>
    <w:unhideWhenUsed/>
    <w:rsid w:val="006C286D"/>
    <w:pPr>
      <w:spacing w:after="120"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semiHidden/>
    <w:unhideWhenUsed/>
    <w:rsid w:val="006C286D"/>
    <w:pPr>
      <w:spacing w:after="120"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semiHidden/>
    <w:unhideWhenUsed/>
    <w:rsid w:val="006C286D"/>
    <w:pPr>
      <w:spacing w:after="120"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semiHidden/>
    <w:rsid w:val="006C286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C286D"/>
    <w:pPr>
      <w:keepLines/>
      <w:spacing w:after="0" w:line="240" w:lineRule="atLeast"/>
      <w:outlineLvl w:val="9"/>
    </w:pPr>
    <w:rPr>
      <w:rFonts w:eastAsiaTheme="majorEastAsia" w:cstheme="majorBidi"/>
      <w:bCs w:val="0"/>
      <w:color w:val="3A215E" w:themeColor="accent1" w:themeShade="BF"/>
      <w:kern w:val="0"/>
      <w:sz w:val="32"/>
      <w:szCs w:val="32"/>
    </w:rPr>
  </w:style>
  <w:style w:type="numbering" w:customStyle="1" w:styleId="GTTableBullets">
    <w:name w:val="GT Table Bullets"/>
    <w:uiPriority w:val="99"/>
    <w:rsid w:val="008C4D0D"/>
    <w:pPr>
      <w:numPr>
        <w:numId w:val="11"/>
      </w:numPr>
    </w:pPr>
  </w:style>
  <w:style w:type="numbering" w:customStyle="1" w:styleId="GTTableNumbers">
    <w:name w:val="GT Table Numbers"/>
    <w:uiPriority w:val="99"/>
    <w:rsid w:val="008C4D0D"/>
    <w:pPr>
      <w:numPr>
        <w:numId w:val="12"/>
      </w:numPr>
    </w:pPr>
  </w:style>
  <w:style w:type="paragraph" w:customStyle="1" w:styleId="TableBullet1">
    <w:name w:val="Table Bullet 1"/>
    <w:basedOn w:val="Listapunktowana"/>
    <w:uiPriority w:val="9"/>
    <w:qFormat/>
    <w:rsid w:val="008C4D0D"/>
    <w:pPr>
      <w:numPr>
        <w:numId w:val="13"/>
      </w:numPr>
      <w:spacing w:before="60" w:after="60"/>
    </w:pPr>
  </w:style>
  <w:style w:type="paragraph" w:customStyle="1" w:styleId="TableBullet2">
    <w:name w:val="Table Bullet 2"/>
    <w:basedOn w:val="Listapunktowana2"/>
    <w:uiPriority w:val="9"/>
    <w:qFormat/>
    <w:rsid w:val="008C4D0D"/>
    <w:pPr>
      <w:numPr>
        <w:numId w:val="13"/>
      </w:numPr>
      <w:spacing w:before="60" w:after="60"/>
    </w:pPr>
  </w:style>
  <w:style w:type="paragraph" w:customStyle="1" w:styleId="TableBullet3">
    <w:name w:val="Table Bullet 3"/>
    <w:basedOn w:val="Listapunktowana3"/>
    <w:uiPriority w:val="9"/>
    <w:qFormat/>
    <w:rsid w:val="008C4D0D"/>
    <w:pPr>
      <w:numPr>
        <w:numId w:val="13"/>
      </w:numPr>
      <w:spacing w:before="60" w:after="60"/>
    </w:pPr>
  </w:style>
  <w:style w:type="paragraph" w:customStyle="1" w:styleId="TableNumber">
    <w:name w:val="Table Number"/>
    <w:basedOn w:val="Listanumerowana"/>
    <w:uiPriority w:val="9"/>
    <w:qFormat/>
    <w:rsid w:val="008C4D0D"/>
    <w:pPr>
      <w:numPr>
        <w:numId w:val="14"/>
      </w:numPr>
      <w:spacing w:before="60" w:after="60"/>
    </w:pPr>
  </w:style>
  <w:style w:type="paragraph" w:customStyle="1" w:styleId="TableNumber2">
    <w:name w:val="Table Number 2"/>
    <w:basedOn w:val="Listanumerowana2"/>
    <w:uiPriority w:val="9"/>
    <w:qFormat/>
    <w:rsid w:val="008C4D0D"/>
    <w:pPr>
      <w:numPr>
        <w:numId w:val="14"/>
      </w:numPr>
      <w:spacing w:before="60" w:after="60"/>
    </w:pPr>
  </w:style>
  <w:style w:type="paragraph" w:customStyle="1" w:styleId="TableNumber3">
    <w:name w:val="Table Number 3"/>
    <w:basedOn w:val="Listanumerowana3"/>
    <w:uiPriority w:val="9"/>
    <w:qFormat/>
    <w:rsid w:val="008C4D0D"/>
    <w:pPr>
      <w:numPr>
        <w:numId w:val="14"/>
      </w:numPr>
      <w:spacing w:before="60" w:after="60"/>
    </w:pPr>
  </w:style>
  <w:style w:type="character" w:customStyle="1" w:styleId="ListapunktowanaZnak">
    <w:name w:val="Lista punktowana Znak"/>
    <w:basedOn w:val="Domylnaczcionkaakapitu"/>
    <w:link w:val="Listapunktowana"/>
    <w:uiPriority w:val="1"/>
    <w:rsid w:val="0021621D"/>
    <w:rPr>
      <w:rFonts w:asciiTheme="minorHAnsi" w:hAnsiTheme="minorHAnsi" w:cs="Arial"/>
      <w:sz w:val="18"/>
      <w:lang w:val="pl-PL"/>
    </w:rPr>
  </w:style>
  <w:style w:type="paragraph" w:customStyle="1" w:styleId="Tabletextdecimal">
    <w:name w:val="Table text decimal"/>
    <w:basedOn w:val="TableText"/>
    <w:uiPriority w:val="9"/>
    <w:rsid w:val="005E6FCA"/>
    <w:pPr>
      <w:tabs>
        <w:tab w:val="decimal" w:pos="1651"/>
      </w:tabs>
    </w:pPr>
    <w:rPr>
      <w:sz w:val="18"/>
      <w:lang w:val="en-GB"/>
    </w:rPr>
  </w:style>
  <w:style w:type="paragraph" w:customStyle="1" w:styleId="Notesandsources">
    <w:name w:val="Notes and sources"/>
    <w:basedOn w:val="Tekstpodstawowy"/>
    <w:rsid w:val="005E6FCA"/>
    <w:pPr>
      <w:tabs>
        <w:tab w:val="left" w:pos="567"/>
      </w:tabs>
      <w:spacing w:before="60" w:after="60" w:line="240" w:lineRule="auto"/>
      <w:ind w:left="754" w:hanging="754"/>
    </w:pPr>
    <w:rPr>
      <w:sz w:val="12"/>
      <w:szCs w:val="12"/>
    </w:rPr>
  </w:style>
  <w:style w:type="paragraph" w:customStyle="1" w:styleId="TableHeadingRight">
    <w:name w:val="Table Heading Right"/>
    <w:basedOn w:val="TableHeading"/>
    <w:uiPriority w:val="9"/>
    <w:rsid w:val="005E6FCA"/>
    <w:pPr>
      <w:jc w:val="right"/>
    </w:pPr>
    <w:rPr>
      <w:color w:val="4F2D7F" w:themeColor="accent1"/>
      <w:sz w:val="18"/>
      <w:lang w:val="en-GB"/>
    </w:rPr>
  </w:style>
  <w:style w:type="paragraph" w:customStyle="1" w:styleId="TableTextRight">
    <w:name w:val="Table Text Right"/>
    <w:basedOn w:val="TableText"/>
    <w:uiPriority w:val="9"/>
    <w:rsid w:val="005E6FCA"/>
    <w:pPr>
      <w:jc w:val="right"/>
    </w:pPr>
    <w:rPr>
      <w:sz w:val="18"/>
      <w:lang w:val="en-GB"/>
    </w:rPr>
  </w:style>
  <w:style w:type="table" w:customStyle="1" w:styleId="GTITableStyle2">
    <w:name w:val="GTI Table Style 2"/>
    <w:basedOn w:val="GTITableStyle1"/>
    <w:uiPriority w:val="99"/>
    <w:rsid w:val="005C23C4"/>
    <w:tblPr/>
    <w:tcPr>
      <w:shd w:val="clear" w:color="auto" w:fill="E9E5DF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LetterFooterURL">
    <w:name w:val="Letter Footer URL"/>
    <w:basedOn w:val="LetterFooter"/>
    <w:uiPriority w:val="9"/>
    <w:semiHidden/>
    <w:rsid w:val="0093057B"/>
    <w:pPr>
      <w:jc w:val="right"/>
    </w:pPr>
    <w:rPr>
      <w:rFonts w:asciiTheme="minorHAnsi" w:hAnsiTheme="minorHAnsi"/>
      <w:b/>
      <w:sz w:val="14"/>
    </w:rPr>
  </w:style>
  <w:style w:type="paragraph" w:customStyle="1" w:styleId="LicenceNumber">
    <w:name w:val="Licence Number"/>
    <w:basedOn w:val="LetterFooter"/>
    <w:uiPriority w:val="9"/>
    <w:rsid w:val="0093057B"/>
    <w:rPr>
      <w:b/>
      <w:sz w:val="14"/>
    </w:rPr>
  </w:style>
  <w:style w:type="paragraph" w:customStyle="1" w:styleId="Tekstpodstawowywciciepodnumerowanie1">
    <w:name w:val="Tekst podstawowy wcięcie pod numerowanie 1"/>
    <w:basedOn w:val="Tekstpodstawowy"/>
    <w:link w:val="Tekstpodstawowywciciepodnumerowanie1Znak"/>
    <w:uiPriority w:val="9"/>
    <w:qFormat/>
    <w:rsid w:val="002F1925"/>
    <w:pPr>
      <w:ind w:left="284"/>
    </w:pPr>
    <w:rPr>
      <w:lang w:val="pl-PL"/>
    </w:rPr>
  </w:style>
  <w:style w:type="character" w:customStyle="1" w:styleId="Tekstpodstawowywciciepodnumerowanie1Znak">
    <w:name w:val="Tekst podstawowy wcięcie pod numerowanie 1 Znak"/>
    <w:basedOn w:val="TekstpodstawowyZnak"/>
    <w:link w:val="Tekstpodstawowywciciepodnumerowanie1"/>
    <w:uiPriority w:val="9"/>
    <w:rsid w:val="002F1925"/>
    <w:rPr>
      <w:rFonts w:asciiTheme="minorHAnsi" w:hAnsiTheme="minorHAnsi" w:cs="Arial"/>
      <w:sz w:val="18"/>
      <w:lang w:val="pl-PL"/>
    </w:rPr>
  </w:style>
  <w:style w:type="character" w:customStyle="1" w:styleId="StopkaZnak">
    <w:name w:val="Stopka Znak"/>
    <w:basedOn w:val="Domylnaczcionkaakapitu"/>
    <w:link w:val="Stopka"/>
    <w:uiPriority w:val="9"/>
    <w:semiHidden/>
    <w:rsid w:val="00C14BA6"/>
    <w:rPr>
      <w:rFonts w:asciiTheme="minorHAnsi" w:hAnsiTheme="minorHAnsi" w:cstheme="minorHAnsi"/>
      <w:color w:val="747678" w:themeColor="background2"/>
      <w:sz w:val="12"/>
      <w:szCs w:val="16"/>
    </w:rPr>
  </w:style>
  <w:style w:type="paragraph" w:customStyle="1" w:styleId="Tekstpodstawowywciciepodnumerowaniea">
    <w:name w:val="Tekst podstawowy wcięcie pod numerowanie a"/>
    <w:basedOn w:val="Tekstpodstawowywciciepodnumerowanie1"/>
    <w:link w:val="TekstpodstawowywciciepodnumerowanieaZnak"/>
    <w:uiPriority w:val="9"/>
    <w:qFormat/>
    <w:rsid w:val="00C13A94"/>
    <w:pPr>
      <w:ind w:left="567"/>
    </w:pPr>
  </w:style>
  <w:style w:type="character" w:customStyle="1" w:styleId="TekstpodstawowywciciepodnumerowanieaZnak">
    <w:name w:val="Tekst podstawowy wcięcie pod numerowanie a Znak"/>
    <w:basedOn w:val="Tekstpodstawowywciciepodnumerowanie1Znak"/>
    <w:link w:val="Tekstpodstawowywciciepodnumerowaniea"/>
    <w:uiPriority w:val="9"/>
    <w:rsid w:val="00C13A94"/>
    <w:rPr>
      <w:rFonts w:asciiTheme="minorHAnsi" w:hAnsiTheme="minorHAnsi" w:cs="Arial"/>
      <w:sz w:val="18"/>
      <w:lang w:val="pl-PL"/>
    </w:rPr>
  </w:style>
  <w:style w:type="paragraph" w:customStyle="1" w:styleId="PRTitle">
    <w:name w:val="PR Title"/>
    <w:basedOn w:val="Tytu"/>
    <w:next w:val="Tekstpodstawowy"/>
    <w:qFormat/>
    <w:rsid w:val="007A5040"/>
    <w:rPr>
      <w:lang w:val="en-GB"/>
    </w:rPr>
  </w:style>
  <w:style w:type="character" w:customStyle="1" w:styleId="Nagwek3Znak">
    <w:name w:val="Nagłówek 3 Znak"/>
    <w:basedOn w:val="Domylnaczcionkaakapitu"/>
    <w:link w:val="Nagwek3"/>
    <w:rsid w:val="007A5040"/>
    <w:rPr>
      <w:rFonts w:asciiTheme="minorHAnsi" w:hAnsiTheme="minorHAnsi" w:cstheme="minorHAnsi"/>
      <w:b/>
      <w:bCs/>
      <w:color w:val="4F2D7F" w:themeColor="accent1"/>
      <w:kern w:val="32"/>
      <w:sz w:val="19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rantthornton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t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249385601335965E-2"/>
          <c:y val="4.1420154562986991E-2"/>
          <c:w val="0.90237009001276869"/>
          <c:h val="0.76219543223014508"/>
        </c:manualLayout>
      </c:layout>
      <c:lineChart>
        <c:grouping val="standard"/>
        <c:varyColors val="0"/>
        <c:ser>
          <c:idx val="0"/>
          <c:order val="0"/>
          <c:tx>
            <c:strRef>
              <c:f>Arkusz1!$B$4</c:f>
              <c:strCache>
                <c:ptCount val="1"/>
                <c:pt idx="0">
                  <c:v>Liczba stron maszynopisu aktów prawnych przyjmowanych w danym roku</c:v>
                </c:pt>
              </c:strCache>
            </c:strRef>
          </c:tx>
          <c:spPr>
            <a:ln>
              <a:solidFill>
                <a:srgbClr val="4F2D7F"/>
              </a:solidFill>
            </a:ln>
          </c:spPr>
          <c:marker>
            <c:symbol val="none"/>
          </c:marker>
          <c:dPt>
            <c:idx val="28"/>
            <c:bubble3D val="0"/>
            <c:extLst>
              <c:ext xmlns:c16="http://schemas.microsoft.com/office/drawing/2014/chart" uri="{C3380CC4-5D6E-409C-BE32-E72D297353CC}">
                <c16:uniqueId val="{00000000-B170-48DA-889E-1A86DEB5078A}"/>
              </c:ext>
            </c:extLst>
          </c:dPt>
          <c:dPt>
            <c:idx val="29"/>
            <c:marker>
              <c:symbol val="auto"/>
              <c:spPr>
                <a:solidFill>
                  <a:srgbClr val="E92841"/>
                </a:solidFill>
                <a:ln>
                  <a:solidFill>
                    <a:srgbClr val="E92841"/>
                  </a:solidFill>
                </a:ln>
              </c:spPr>
            </c:marker>
            <c:bubble3D val="0"/>
            <c:spPr>
              <a:ln>
                <a:solidFill>
                  <a:srgbClr val="E9284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2-B170-48DA-889E-1A86DEB5078A}"/>
              </c:ext>
            </c:extLst>
          </c:dPt>
          <c:dLbls>
            <c:dLbl>
              <c:idx val="28"/>
              <c:layout>
                <c:manualLayout>
                  <c:x val="-1.0852714282357147E-2"/>
                  <c:y val="0.36780486134885315"/>
                </c:manualLayout>
              </c:layout>
              <c:tx>
                <c:rich>
                  <a:bodyPr/>
                  <a:lstStyle/>
                  <a:p>
                    <a:r>
                      <a:rPr lang="en-US" sz="900" b="1"/>
                      <a:t>14 641</a:t>
                    </a:r>
                  </a:p>
                  <a:p>
                    <a:r>
                      <a:rPr lang="en-US" sz="600" b="0"/>
                      <a:t>(-</a:t>
                    </a:r>
                    <a:r>
                      <a:rPr lang="en-US" sz="600" b="0" baseline="0"/>
                      <a:t>46</a:t>
                    </a:r>
                    <a:r>
                      <a:rPr lang="en-US" sz="600" b="0"/>
                      <a:t>%)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170-48DA-889E-1A86DEB5078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Arkusz1!$A$5:$A$34</c:f>
              <c:strCache>
                <c:ptCount val="30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  <c:pt idx="21">
                  <c:v>2010</c:v>
                </c:pt>
                <c:pt idx="22">
                  <c:v>2011</c:v>
                </c:pt>
                <c:pt idx="23">
                  <c:v>2012</c:v>
                </c:pt>
                <c:pt idx="24">
                  <c:v>2013</c:v>
                </c:pt>
                <c:pt idx="25">
                  <c:v>2014</c:v>
                </c:pt>
                <c:pt idx="26">
                  <c:v>2015</c:v>
                </c:pt>
                <c:pt idx="27">
                  <c:v>2016</c:v>
                </c:pt>
                <c:pt idx="28">
                  <c:v>2017</c:v>
                </c:pt>
                <c:pt idx="29">
                  <c:v>2018</c:v>
                </c:pt>
              </c:strCache>
            </c:strRef>
          </c:cat>
          <c:val>
            <c:numRef>
              <c:f>Arkusz1!$B$5:$B$34</c:f>
              <c:numCache>
                <c:formatCode>General</c:formatCode>
                <c:ptCount val="30"/>
                <c:pt idx="0">
                  <c:v>1186</c:v>
                </c:pt>
                <c:pt idx="1">
                  <c:v>1348</c:v>
                </c:pt>
                <c:pt idx="2">
                  <c:v>1824</c:v>
                </c:pt>
                <c:pt idx="3">
                  <c:v>1836</c:v>
                </c:pt>
                <c:pt idx="4">
                  <c:v>2402</c:v>
                </c:pt>
                <c:pt idx="5">
                  <c:v>3034</c:v>
                </c:pt>
                <c:pt idx="6">
                  <c:v>3747</c:v>
                </c:pt>
                <c:pt idx="7">
                  <c:v>3781</c:v>
                </c:pt>
                <c:pt idx="8">
                  <c:v>5672</c:v>
                </c:pt>
                <c:pt idx="9">
                  <c:v>7492</c:v>
                </c:pt>
                <c:pt idx="10">
                  <c:v>7036</c:v>
                </c:pt>
                <c:pt idx="11">
                  <c:v>7456</c:v>
                </c:pt>
                <c:pt idx="12">
                  <c:v>13132</c:v>
                </c:pt>
                <c:pt idx="13">
                  <c:v>16020</c:v>
                </c:pt>
                <c:pt idx="14">
                  <c:v>16456</c:v>
                </c:pt>
                <c:pt idx="15">
                  <c:v>21034</c:v>
                </c:pt>
                <c:pt idx="16">
                  <c:v>17612</c:v>
                </c:pt>
                <c:pt idx="17">
                  <c:v>12936</c:v>
                </c:pt>
                <c:pt idx="18">
                  <c:v>17988</c:v>
                </c:pt>
                <c:pt idx="19">
                  <c:v>13724</c:v>
                </c:pt>
                <c:pt idx="20">
                  <c:v>18352</c:v>
                </c:pt>
                <c:pt idx="21">
                  <c:v>18246</c:v>
                </c:pt>
                <c:pt idx="22">
                  <c:v>17484</c:v>
                </c:pt>
                <c:pt idx="23">
                  <c:v>19761</c:v>
                </c:pt>
                <c:pt idx="24">
                  <c:v>22986</c:v>
                </c:pt>
                <c:pt idx="25">
                  <c:v>25634</c:v>
                </c:pt>
                <c:pt idx="26">
                  <c:v>29843</c:v>
                </c:pt>
                <c:pt idx="27" formatCode="0">
                  <c:v>31906</c:v>
                </c:pt>
                <c:pt idx="28" formatCode="0">
                  <c:v>27118</c:v>
                </c:pt>
                <c:pt idx="29" formatCode="#,##0">
                  <c:v>14641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B170-48DA-889E-1A86DEB507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upDownBars>
          <c:gapWidth val="150"/>
          <c:upBars/>
          <c:downBars/>
        </c:upDownBars>
        <c:smooth val="0"/>
        <c:axId val="2085377936"/>
        <c:axId val="2085369776"/>
      </c:lineChart>
      <c:catAx>
        <c:axId val="20853779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00" baseline="0"/>
            </a:pPr>
            <a:endParaRPr lang="pl-PL"/>
          </a:p>
        </c:txPr>
        <c:crossAx val="2085369776"/>
        <c:crosses val="autoZero"/>
        <c:auto val="1"/>
        <c:lblAlgn val="ctr"/>
        <c:lblOffset val="100"/>
        <c:noMultiLvlLbl val="0"/>
      </c:catAx>
      <c:valAx>
        <c:axId val="208536977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700" baseline="0"/>
            </a:pPr>
            <a:endParaRPr lang="pl-PL"/>
          </a:p>
        </c:txPr>
        <c:crossAx val="208537793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GT Theme Colours">
      <a:dk1>
        <a:sysClr val="windowText" lastClr="000000"/>
      </a:dk1>
      <a:lt1>
        <a:sysClr val="window" lastClr="FFFFFF"/>
      </a:lt1>
      <a:dk2>
        <a:srgbClr val="747678"/>
      </a:dk2>
      <a:lt2>
        <a:srgbClr val="747678"/>
      </a:lt2>
      <a:accent1>
        <a:srgbClr val="4F2D7F"/>
      </a:accent1>
      <a:accent2>
        <a:srgbClr val="C8BEAF"/>
      </a:accent2>
      <a:accent3>
        <a:srgbClr val="00A7B5"/>
      </a:accent3>
      <a:accent4>
        <a:srgbClr val="FF7D1E"/>
      </a:accent4>
      <a:accent5>
        <a:srgbClr val="9BD732"/>
      </a:accent5>
      <a:accent6>
        <a:srgbClr val="E92841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0A81C22F8DB43BCB3F602F7DEC8A5" ma:contentTypeVersion="0" ma:contentTypeDescription="Create a new document." ma:contentTypeScope="" ma:versionID="778a7e44bfdc93b3322af7b54e6b741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F41B1-AD49-44CB-B83F-EA37A3EF4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3340691-3B4F-4820-AFA0-EA46171D87E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9F7F6C4-C6E9-4C1A-9E58-0DED638B82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B13EA1-51BE-4846-AF1D-B8906A5B6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885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Drygas Piotr</dc:creator>
  <cp:lastModifiedBy>aleksandra.zaboklicka12@gmail.com</cp:lastModifiedBy>
  <cp:revision>2</cp:revision>
  <cp:lastPrinted>2007-08-23T16:47:00Z</cp:lastPrinted>
  <dcterms:created xsi:type="dcterms:W3CDTF">2019-02-25T15:47:00Z</dcterms:created>
  <dcterms:modified xsi:type="dcterms:W3CDTF">2019-02-25T15:47:00Z</dcterms:modified>
</cp:coreProperties>
</file>