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2F" w:rsidRDefault="00D8712F" w:rsidP="00C04FB3">
      <w:pPr>
        <w:pStyle w:val="PRTitle"/>
        <w:spacing w:line="276" w:lineRule="auto"/>
        <w:rPr>
          <w:sz w:val="44"/>
          <w:lang w:val="pl-PL"/>
        </w:rPr>
      </w:pPr>
    </w:p>
    <w:p w:rsidR="00813F04" w:rsidRPr="00043B07" w:rsidRDefault="00625597" w:rsidP="00C04FB3">
      <w:pPr>
        <w:pStyle w:val="PRTitle"/>
        <w:spacing w:line="276" w:lineRule="auto"/>
        <w:rPr>
          <w:sz w:val="96"/>
          <w:lang w:val="pl-PL"/>
        </w:rPr>
      </w:pPr>
      <w:r w:rsidRPr="00043B07">
        <w:rPr>
          <w:sz w:val="96"/>
          <w:lang w:val="pl-PL"/>
        </w:rPr>
        <w:t>Pr</w:t>
      </w:r>
      <w:r w:rsidR="00043B07" w:rsidRPr="00043B07">
        <w:rPr>
          <w:sz w:val="96"/>
          <w:lang w:val="pl-PL"/>
        </w:rPr>
        <w:t xml:space="preserve">odukcja prawa </w:t>
      </w:r>
      <w:r w:rsidR="00094191">
        <w:rPr>
          <w:sz w:val="96"/>
          <w:lang w:val="pl-PL"/>
        </w:rPr>
        <w:t>znowu przyspiesza</w:t>
      </w:r>
    </w:p>
    <w:p w:rsidR="00D067EF" w:rsidRDefault="00D067EF" w:rsidP="00B87565">
      <w:pPr>
        <w:pStyle w:val="Tekstpodstawowy"/>
        <w:rPr>
          <w:b/>
          <w:color w:val="00A7B5" w:themeColor="accent3"/>
          <w:lang w:val="pl-PL"/>
        </w:rPr>
      </w:pPr>
    </w:p>
    <w:p w:rsidR="00D8712F" w:rsidRPr="00D8712F" w:rsidRDefault="00094191" w:rsidP="00B87565">
      <w:pPr>
        <w:pStyle w:val="Tekstpodstawowy"/>
        <w:rPr>
          <w:b/>
          <w:color w:val="00A7B5" w:themeColor="accent3"/>
          <w:lang w:val="pl-PL"/>
        </w:rPr>
      </w:pPr>
      <w:r>
        <w:rPr>
          <w:b/>
          <w:color w:val="00A7B5" w:themeColor="accent3"/>
          <w:lang w:val="pl-PL"/>
        </w:rPr>
        <w:t>Aktualizacja za I półrocze 2019</w:t>
      </w:r>
      <w:r w:rsidR="00142F32">
        <w:rPr>
          <w:b/>
          <w:color w:val="00A7B5" w:themeColor="accent3"/>
          <w:lang w:val="pl-PL"/>
        </w:rPr>
        <w:t xml:space="preserve"> r.</w:t>
      </w:r>
    </w:p>
    <w:p w:rsidR="00B87565" w:rsidRPr="000C4938" w:rsidRDefault="00597E0D" w:rsidP="00B87565">
      <w:pPr>
        <w:pStyle w:val="Tekstpodstawowy"/>
        <w:rPr>
          <w:lang w:val="pl-PL"/>
        </w:rPr>
      </w:pPr>
      <w:r>
        <w:rPr>
          <w:lang w:val="pl-PL"/>
        </w:rPr>
        <w:t>22</w:t>
      </w:r>
      <w:r w:rsidR="00236078">
        <w:rPr>
          <w:lang w:val="pl-PL"/>
        </w:rPr>
        <w:t xml:space="preserve"> sierpnia 2019</w:t>
      </w:r>
      <w:r w:rsidR="00AE0450" w:rsidRPr="000C4938">
        <w:rPr>
          <w:lang w:val="pl-PL"/>
        </w:rPr>
        <w:t xml:space="preserve"> r.</w:t>
      </w:r>
    </w:p>
    <w:p w:rsidR="00AE0450" w:rsidRDefault="00AE0450" w:rsidP="00B87565">
      <w:pPr>
        <w:pStyle w:val="Tekstpodstawowy"/>
        <w:rPr>
          <w:lang w:val="pl-PL"/>
        </w:rPr>
      </w:pPr>
    </w:p>
    <w:p w:rsidR="000C4938" w:rsidRPr="000C4938" w:rsidRDefault="000C4938" w:rsidP="00B87565">
      <w:pPr>
        <w:pStyle w:val="Tekstpodstawowy"/>
        <w:rPr>
          <w:lang w:val="pl-PL"/>
        </w:rPr>
      </w:pPr>
    </w:p>
    <w:p w:rsidR="00043B07" w:rsidRDefault="00043B07" w:rsidP="00AE0450">
      <w:pPr>
        <w:pStyle w:val="Tekstpodstawowy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</w:p>
    <w:p w:rsidR="000C4938" w:rsidRPr="00D8712F" w:rsidRDefault="00094191" w:rsidP="00D8712F">
      <w:pPr>
        <w:pStyle w:val="Tekstpodstawowy"/>
        <w:spacing w:after="0" w:line="360" w:lineRule="auto"/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</w:pP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 pierwszej połowie 2019</w:t>
      </w:r>
      <w:r w:rsid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r.</w:t>
      </w:r>
      <w:r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przyjęto 11</w:t>
      </w:r>
      <w:r w:rsidR="009B1AF3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,8 tys.</w:t>
      </w:r>
      <w:r w:rsidR="00625597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stron maszynopisu aktów pr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awnych najwyższego r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zędu. </w:t>
      </w:r>
      <w:r w:rsidR="004A12AC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To </w:t>
      </w:r>
      <w:r w:rsidR="009B1AF3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wzrost o 6 proc. </w:t>
      </w:r>
      <w:r w:rsidR="00565EE2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 porównaniu z analogicznym okresem ubiegłego roku</w:t>
      </w:r>
      <w:r w:rsidR="0098693F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– 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wynika z najnowszej aktualizacji „</w:t>
      </w:r>
      <w:r w:rsidR="00F10F54" w:rsidRPr="00043B07">
        <w:rPr>
          <w:rFonts w:asciiTheme="majorHAnsi" w:hAnsiTheme="majorHAnsi" w:cstheme="majorHAnsi"/>
          <w:bCs/>
          <w:color w:val="4F2D7F"/>
          <w:kern w:val="32"/>
          <w:sz w:val="32"/>
          <w:szCs w:val="28"/>
          <w:lang w:val="pl-PL"/>
        </w:rPr>
        <w:t>Barometru</w:t>
      </w:r>
      <w:r w:rsidR="00F10F54" w:rsidRPr="00043B07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 xml:space="preserve"> stabilnoś</w:t>
      </w:r>
      <w:r w:rsidR="00BA30F1">
        <w:rPr>
          <w:rFonts w:asciiTheme="majorHAnsi" w:hAnsiTheme="majorHAnsi" w:cstheme="majorHAnsi"/>
          <w:bCs/>
          <w:color w:val="4F2D7F" w:themeColor="accent1"/>
          <w:kern w:val="32"/>
          <w:sz w:val="32"/>
          <w:szCs w:val="28"/>
          <w:lang w:val="pl-PL"/>
        </w:rPr>
        <w:t>ci otoczenia prawnego w Polsce”.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8296D" w:rsidRDefault="00F10F54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>Firma au</w:t>
      </w:r>
      <w:r w:rsidR="00043B07">
        <w:rPr>
          <w:rFonts w:eastAsia="Calibri" w:cstheme="minorHAnsi"/>
          <w:sz w:val="20"/>
          <w:lang w:val="pl-PL"/>
        </w:rPr>
        <w:t>dytorsko-doradcza</w:t>
      </w:r>
      <w:r w:rsidRPr="00F10F54">
        <w:rPr>
          <w:rFonts w:eastAsia="Calibri" w:cstheme="minorHAnsi"/>
          <w:sz w:val="20"/>
          <w:lang w:val="pl-PL"/>
        </w:rPr>
        <w:t xml:space="preserve"> Grant Thornton w lutym 2015 r. zainaugurowała swój projekt badawczy „Barometr stabilności otoczenia prawnego w polskiej gospodarce”, w ramach którego monitoruje na bieżąco chwiejność polskiego systemu prawnego. </w:t>
      </w:r>
      <w:r w:rsidR="00043B07">
        <w:rPr>
          <w:rFonts w:eastAsia="Calibri" w:cstheme="minorHAnsi"/>
          <w:sz w:val="20"/>
          <w:lang w:val="pl-PL"/>
        </w:rPr>
        <w:t>Od tego czasu raz do roku publikuje raport na temat skali produkcji nowego prawa w Polsce, a co trzy miesiące przedstawia skrócone aktualizacje kwartal</w:t>
      </w:r>
      <w:r w:rsidR="0098693F">
        <w:rPr>
          <w:rFonts w:eastAsia="Calibri" w:cstheme="minorHAnsi"/>
          <w:sz w:val="20"/>
          <w:lang w:val="pl-PL"/>
        </w:rPr>
        <w:t>n</w:t>
      </w:r>
      <w:r w:rsidR="00043B07">
        <w:rPr>
          <w:rFonts w:eastAsia="Calibri" w:cstheme="minorHAnsi"/>
          <w:sz w:val="20"/>
          <w:lang w:val="pl-PL"/>
        </w:rPr>
        <w:t>e.</w:t>
      </w:r>
    </w:p>
    <w:p w:rsidR="00D8712F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A12AC" w:rsidRDefault="00CC1A63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>
        <w:rPr>
          <w:rFonts w:eastAsia="Calibri" w:cstheme="minorHAnsi"/>
          <w:sz w:val="20"/>
          <w:lang w:val="pl-PL"/>
        </w:rPr>
        <w:t xml:space="preserve">Wnioski </w:t>
      </w:r>
      <w:r w:rsidR="004A4534">
        <w:rPr>
          <w:rFonts w:eastAsia="Calibri" w:cstheme="minorHAnsi"/>
          <w:sz w:val="20"/>
          <w:lang w:val="pl-PL"/>
        </w:rPr>
        <w:t>płynące z najnowszej aktu</w:t>
      </w:r>
      <w:r w:rsidR="00043B07">
        <w:rPr>
          <w:rFonts w:eastAsia="Calibri" w:cstheme="minorHAnsi"/>
          <w:sz w:val="20"/>
          <w:lang w:val="pl-PL"/>
        </w:rPr>
        <w:t>alizacji bada</w:t>
      </w:r>
      <w:r w:rsidR="009B1AF3">
        <w:rPr>
          <w:rFonts w:eastAsia="Calibri" w:cstheme="minorHAnsi"/>
          <w:sz w:val="20"/>
          <w:lang w:val="pl-PL"/>
        </w:rPr>
        <w:t>nia – po pierwszym półroczu 2019</w:t>
      </w:r>
      <w:r w:rsidR="00043B07">
        <w:rPr>
          <w:rFonts w:eastAsia="Calibri" w:cstheme="minorHAnsi"/>
          <w:sz w:val="20"/>
          <w:lang w:val="pl-PL"/>
        </w:rPr>
        <w:t xml:space="preserve"> r. –</w:t>
      </w:r>
      <w:r w:rsidR="009B1AF3">
        <w:rPr>
          <w:rFonts w:eastAsia="Calibri" w:cstheme="minorHAnsi"/>
          <w:sz w:val="20"/>
          <w:lang w:val="pl-PL"/>
        </w:rPr>
        <w:t xml:space="preserve"> nie są optymistyczne</w:t>
      </w:r>
      <w:r w:rsidR="00043B07">
        <w:rPr>
          <w:rFonts w:eastAsia="Calibri" w:cstheme="minorHAnsi"/>
          <w:sz w:val="20"/>
          <w:lang w:val="pl-PL"/>
        </w:rPr>
        <w:t>. Od początk</w:t>
      </w:r>
      <w:r w:rsidR="00F03413">
        <w:rPr>
          <w:rFonts w:eastAsia="Calibri" w:cstheme="minorHAnsi"/>
          <w:sz w:val="20"/>
          <w:lang w:val="pl-PL"/>
        </w:rPr>
        <w:t>u stycznia do końca czerwca</w:t>
      </w:r>
      <w:r w:rsidR="004A12AC">
        <w:rPr>
          <w:rFonts w:eastAsia="Calibri" w:cstheme="minorHAnsi"/>
          <w:sz w:val="20"/>
          <w:lang w:val="pl-PL"/>
        </w:rPr>
        <w:t xml:space="preserve"> 2019</w:t>
      </w:r>
      <w:r w:rsidR="00043B07">
        <w:rPr>
          <w:rFonts w:eastAsia="Calibri" w:cstheme="minorHAnsi"/>
          <w:sz w:val="20"/>
          <w:lang w:val="pl-PL"/>
        </w:rPr>
        <w:t xml:space="preserve"> r.</w:t>
      </w:r>
      <w:r w:rsidR="004A4534">
        <w:rPr>
          <w:rFonts w:eastAsia="Calibri" w:cstheme="minorHAnsi"/>
          <w:sz w:val="20"/>
          <w:lang w:val="pl-PL"/>
        </w:rPr>
        <w:t xml:space="preserve"> </w:t>
      </w:r>
      <w:r w:rsidR="00D80C66">
        <w:rPr>
          <w:rFonts w:eastAsia="Calibri" w:cstheme="minorHAnsi"/>
          <w:sz w:val="20"/>
          <w:lang w:val="pl-PL"/>
        </w:rPr>
        <w:t>uchwalono</w:t>
      </w:r>
      <w:r w:rsidR="00043B07">
        <w:rPr>
          <w:rFonts w:eastAsia="Calibri" w:cstheme="minorHAnsi"/>
          <w:sz w:val="20"/>
          <w:lang w:val="pl-PL"/>
        </w:rPr>
        <w:t xml:space="preserve"> w Polsce</w:t>
      </w:r>
      <w:r w:rsidR="009B1AF3">
        <w:rPr>
          <w:rFonts w:eastAsia="Calibri" w:cstheme="minorHAnsi"/>
          <w:sz w:val="20"/>
          <w:lang w:val="pl-PL"/>
        </w:rPr>
        <w:t xml:space="preserve"> 11 772</w:t>
      </w:r>
      <w:r w:rsidR="00D80C66">
        <w:rPr>
          <w:rFonts w:eastAsia="Calibri" w:cstheme="minorHAnsi"/>
          <w:sz w:val="20"/>
          <w:lang w:val="pl-PL"/>
        </w:rPr>
        <w:t xml:space="preserve"> stron maszynopisu aktów prawnych</w:t>
      </w:r>
      <w:r w:rsidR="00B23987">
        <w:rPr>
          <w:rFonts w:eastAsia="Calibri" w:cstheme="minorHAnsi"/>
          <w:sz w:val="20"/>
          <w:lang w:val="pl-PL"/>
        </w:rPr>
        <w:t xml:space="preserve"> najwyższego rzędu</w:t>
      </w:r>
      <w:r w:rsidR="0098693F">
        <w:rPr>
          <w:rFonts w:eastAsia="Calibri" w:cstheme="minorHAnsi"/>
          <w:sz w:val="20"/>
          <w:lang w:val="pl-PL"/>
        </w:rPr>
        <w:t xml:space="preserve"> (</w:t>
      </w:r>
      <w:r w:rsidR="009B1AF3">
        <w:rPr>
          <w:rFonts w:eastAsia="Calibri" w:cstheme="minorHAnsi"/>
          <w:sz w:val="20"/>
          <w:lang w:val="pl-PL"/>
        </w:rPr>
        <w:t xml:space="preserve">ustaw, </w:t>
      </w:r>
      <w:r w:rsidR="00043B07">
        <w:rPr>
          <w:rFonts w:eastAsia="Calibri" w:cstheme="minorHAnsi"/>
          <w:sz w:val="20"/>
          <w:lang w:val="pl-PL"/>
        </w:rPr>
        <w:t>rozporządzeń</w:t>
      </w:r>
      <w:r w:rsidR="009B1AF3">
        <w:rPr>
          <w:rFonts w:eastAsia="Calibri" w:cstheme="minorHAnsi"/>
          <w:sz w:val="20"/>
          <w:lang w:val="pl-PL"/>
        </w:rPr>
        <w:t xml:space="preserve"> i umów międzynarodowych</w:t>
      </w:r>
      <w:r w:rsidR="0098693F">
        <w:rPr>
          <w:rFonts w:eastAsia="Calibri" w:cstheme="minorHAnsi"/>
          <w:sz w:val="20"/>
          <w:lang w:val="pl-PL"/>
        </w:rPr>
        <w:t>)</w:t>
      </w:r>
      <w:r w:rsidR="00043B07">
        <w:rPr>
          <w:rFonts w:eastAsia="Calibri" w:cstheme="minorHAnsi"/>
          <w:sz w:val="20"/>
          <w:lang w:val="pl-PL"/>
        </w:rPr>
        <w:t>. J</w:t>
      </w:r>
      <w:r w:rsidR="00B23987">
        <w:rPr>
          <w:rFonts w:eastAsia="Calibri" w:cstheme="minorHAnsi"/>
          <w:sz w:val="20"/>
          <w:lang w:val="pl-PL"/>
        </w:rPr>
        <w:t>est</w:t>
      </w:r>
      <w:r w:rsidR="00043B07">
        <w:rPr>
          <w:rFonts w:eastAsia="Calibri" w:cstheme="minorHAnsi"/>
          <w:sz w:val="20"/>
          <w:lang w:val="pl-PL"/>
        </w:rPr>
        <w:t xml:space="preserve"> to</w:t>
      </w:r>
      <w:r w:rsidR="00B23987">
        <w:rPr>
          <w:rFonts w:eastAsia="Calibri" w:cstheme="minorHAnsi"/>
          <w:sz w:val="20"/>
          <w:lang w:val="pl-PL"/>
        </w:rPr>
        <w:t xml:space="preserve"> </w:t>
      </w:r>
      <w:r w:rsidR="009B1AF3">
        <w:rPr>
          <w:rFonts w:eastAsia="Calibri" w:cstheme="minorHAnsi"/>
          <w:sz w:val="20"/>
          <w:lang w:val="pl-PL"/>
        </w:rPr>
        <w:t>wynik delikatnie – o 5,6 proc. – wyższy niż w</w:t>
      </w:r>
      <w:r w:rsidR="001260ED">
        <w:rPr>
          <w:rFonts w:eastAsia="Calibri" w:cstheme="minorHAnsi"/>
          <w:sz w:val="20"/>
          <w:lang w:val="pl-PL"/>
        </w:rPr>
        <w:t xml:space="preserve"> analogicznym o</w:t>
      </w:r>
      <w:r w:rsidR="009B1AF3">
        <w:rPr>
          <w:rFonts w:eastAsia="Calibri" w:cstheme="minorHAnsi"/>
          <w:sz w:val="20"/>
          <w:lang w:val="pl-PL"/>
        </w:rPr>
        <w:t>kresie</w:t>
      </w:r>
      <w:r w:rsidR="0098693F">
        <w:rPr>
          <w:rFonts w:eastAsia="Calibri" w:cstheme="minorHAnsi"/>
          <w:sz w:val="20"/>
          <w:lang w:val="pl-PL"/>
        </w:rPr>
        <w:t xml:space="preserve"> ubiegłego roku.</w:t>
      </w:r>
      <w:r w:rsidR="00EF14FE">
        <w:rPr>
          <w:rFonts w:eastAsia="Calibri" w:cstheme="minorHAnsi"/>
          <w:sz w:val="20"/>
          <w:lang w:val="pl-PL"/>
        </w:rPr>
        <w:t xml:space="preserve"> To zła wiadomość, ponieważ w dwóch ostatnich latach nastąpił silny spadek produkcji </w:t>
      </w:r>
      <w:r w:rsidR="003A40B6">
        <w:rPr>
          <w:rFonts w:eastAsia="Calibri" w:cstheme="minorHAnsi"/>
          <w:sz w:val="20"/>
          <w:lang w:val="pl-PL"/>
        </w:rPr>
        <w:t xml:space="preserve">prawa w Polsce i istnieje ryzyko, że </w:t>
      </w:r>
      <w:r w:rsidR="00EF14FE">
        <w:rPr>
          <w:rFonts w:eastAsia="Calibri" w:cstheme="minorHAnsi"/>
          <w:sz w:val="20"/>
          <w:lang w:val="pl-PL"/>
        </w:rPr>
        <w:t>w 2019 r.</w:t>
      </w:r>
      <w:r w:rsidR="003A40B6">
        <w:rPr>
          <w:rFonts w:eastAsia="Calibri" w:cstheme="minorHAnsi"/>
          <w:sz w:val="20"/>
          <w:lang w:val="pl-PL"/>
        </w:rPr>
        <w:t xml:space="preserve"> ta dobra passa</w:t>
      </w:r>
      <w:r w:rsidR="00EF14FE">
        <w:rPr>
          <w:rFonts w:eastAsia="Calibri" w:cstheme="minorHAnsi"/>
          <w:sz w:val="20"/>
          <w:lang w:val="pl-PL"/>
        </w:rPr>
        <w:t xml:space="preserve"> może zostać przerwana.</w:t>
      </w:r>
    </w:p>
    <w:p w:rsidR="004A12AC" w:rsidRDefault="004A12AC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367A05" w:rsidRPr="00043B07" w:rsidRDefault="00367A05" w:rsidP="00D8712F">
      <w:pPr>
        <w:pStyle w:val="Tekstpodstawowy"/>
        <w:spacing w:after="0" w:line="360" w:lineRule="auto"/>
        <w:rPr>
          <w:rFonts w:eastAsia="Calibri" w:cstheme="minorHAnsi"/>
          <w:b/>
          <w:sz w:val="20"/>
          <w:lang w:val="pl-PL"/>
        </w:rPr>
      </w:pPr>
    </w:p>
    <w:p w:rsidR="000C0104" w:rsidRDefault="0098693F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b/>
          <w:color w:val="4F2D7F"/>
          <w:sz w:val="20"/>
          <w:lang w:val="pl-PL"/>
        </w:rPr>
        <w:t xml:space="preserve">Jeśli </w:t>
      </w:r>
      <w:r w:rsidR="003A40B6">
        <w:rPr>
          <w:rFonts w:eastAsia="Calibri" w:cstheme="minorHAnsi"/>
          <w:b/>
          <w:color w:val="4F2D7F"/>
          <w:sz w:val="20"/>
          <w:lang w:val="pl-PL"/>
        </w:rPr>
        <w:t>przyjąć teoretyczne założenie</w:t>
      </w:r>
      <w:r w:rsidR="00EF14FE">
        <w:rPr>
          <w:rFonts w:eastAsia="Calibri" w:cstheme="minorHAnsi"/>
          <w:b/>
          <w:color w:val="4F2D7F"/>
          <w:sz w:val="20"/>
          <w:lang w:val="pl-PL"/>
        </w:rPr>
        <w:t>, że dynamika wzrostu o 5,6 proc.</w:t>
      </w:r>
      <w:r w:rsidR="00367A05">
        <w:rPr>
          <w:rFonts w:eastAsia="Calibri" w:cstheme="minorHAnsi"/>
          <w:b/>
          <w:color w:val="4F2D7F"/>
          <w:sz w:val="20"/>
          <w:lang w:val="pl-PL"/>
        </w:rPr>
        <w:t xml:space="preserve"> utrzyma si</w:t>
      </w:r>
      <w:r w:rsidR="00EF14FE">
        <w:rPr>
          <w:rFonts w:eastAsia="Calibri" w:cstheme="minorHAnsi"/>
          <w:b/>
          <w:color w:val="4F2D7F"/>
          <w:sz w:val="20"/>
          <w:lang w:val="pl-PL"/>
        </w:rPr>
        <w:t xml:space="preserve">ę w II półroczu, to w całym 2019 </w:t>
      </w:r>
      <w:r w:rsidR="00C0032B">
        <w:rPr>
          <w:rFonts w:eastAsia="Calibri" w:cstheme="minorHAnsi"/>
          <w:b/>
          <w:color w:val="4F2D7F"/>
          <w:sz w:val="20"/>
          <w:lang w:val="pl-PL"/>
        </w:rPr>
        <w:t>roku przyjętych zostałoby 21 457</w:t>
      </w:r>
      <w:r w:rsidR="00DA5B3C">
        <w:rPr>
          <w:rFonts w:eastAsia="Calibri" w:cstheme="minorHAnsi"/>
          <w:b/>
          <w:color w:val="4F2D7F"/>
          <w:sz w:val="20"/>
          <w:lang w:val="pl-PL"/>
        </w:rPr>
        <w:t xml:space="preserve"> stron maszynopisu aktów prawny</w:t>
      </w:r>
      <w:r>
        <w:rPr>
          <w:rFonts w:eastAsia="Calibri" w:cstheme="minorHAnsi"/>
          <w:b/>
          <w:color w:val="4F2D7F"/>
          <w:sz w:val="20"/>
          <w:lang w:val="pl-PL"/>
        </w:rPr>
        <w:t>ch</w:t>
      </w:r>
      <w:r w:rsidR="00C0032B">
        <w:rPr>
          <w:rFonts w:eastAsia="Calibri" w:cstheme="minorHAnsi"/>
          <w:b/>
          <w:color w:val="4F2D7F"/>
          <w:sz w:val="20"/>
          <w:lang w:val="pl-PL"/>
        </w:rPr>
        <w:t>, czyli o 1132</w:t>
      </w:r>
      <w:r w:rsidR="00EF14FE">
        <w:rPr>
          <w:rFonts w:eastAsia="Calibri" w:cstheme="minorHAnsi"/>
          <w:b/>
          <w:color w:val="4F2D7F"/>
          <w:sz w:val="20"/>
          <w:lang w:val="pl-PL"/>
        </w:rPr>
        <w:t xml:space="preserve"> stron więcej niż w 2018 r</w:t>
      </w:r>
      <w:r>
        <w:rPr>
          <w:rFonts w:eastAsia="Calibri" w:cstheme="minorHAnsi"/>
          <w:b/>
          <w:color w:val="4F2D7F"/>
          <w:sz w:val="20"/>
          <w:lang w:val="pl-PL"/>
        </w:rPr>
        <w:t>. Oznaczałoby to, że pod względem produkcji prawa</w:t>
      </w:r>
      <w:r w:rsidR="00987602">
        <w:rPr>
          <w:rFonts w:eastAsia="Calibri" w:cstheme="minorHAnsi"/>
          <w:b/>
          <w:color w:val="4F2D7F"/>
          <w:sz w:val="20"/>
          <w:lang w:val="pl-PL"/>
        </w:rPr>
        <w:t xml:space="preserve"> </w:t>
      </w:r>
      <w:r w:rsidR="00506CA4">
        <w:rPr>
          <w:rFonts w:eastAsia="Calibri" w:cstheme="minorHAnsi"/>
          <w:b/>
          <w:color w:val="4F2D7F"/>
          <w:sz w:val="20"/>
          <w:lang w:val="pl-PL"/>
        </w:rPr>
        <w:t>sytuacja nie</w:t>
      </w:r>
      <w:r w:rsidR="00654EED">
        <w:rPr>
          <w:rFonts w:eastAsia="Calibri" w:cstheme="minorHAnsi"/>
          <w:b/>
          <w:color w:val="4F2D7F"/>
          <w:sz w:val="20"/>
          <w:lang w:val="pl-PL"/>
        </w:rPr>
        <w:t>co pogorszyła się w porównaniu z</w:t>
      </w:r>
      <w:r w:rsidR="00506CA4">
        <w:rPr>
          <w:rFonts w:eastAsia="Calibri" w:cstheme="minorHAnsi"/>
          <w:b/>
          <w:color w:val="4F2D7F"/>
          <w:sz w:val="20"/>
          <w:lang w:val="pl-PL"/>
        </w:rPr>
        <w:t xml:space="preserve"> poprzednim rokiem, ale </w:t>
      </w:r>
      <w:r w:rsidR="00C0032B">
        <w:rPr>
          <w:rFonts w:eastAsia="Calibri" w:cstheme="minorHAnsi"/>
          <w:b/>
          <w:color w:val="4F2D7F"/>
          <w:sz w:val="20"/>
          <w:lang w:val="pl-PL"/>
        </w:rPr>
        <w:t xml:space="preserve">utrzymuje się na poziomie zbliżonym do średniej z lat </w:t>
      </w:r>
      <w:r w:rsidR="00D15A50">
        <w:rPr>
          <w:rFonts w:eastAsia="Calibri" w:cstheme="minorHAnsi"/>
          <w:b/>
          <w:color w:val="4F2D7F"/>
          <w:sz w:val="20"/>
          <w:lang w:val="pl-PL"/>
        </w:rPr>
        <w:t>2012-2018</w:t>
      </w:r>
      <w:r w:rsidR="00506CA4">
        <w:rPr>
          <w:rFonts w:eastAsia="Calibri" w:cstheme="minorHAnsi"/>
          <w:b/>
          <w:color w:val="4F2D7F"/>
          <w:sz w:val="20"/>
          <w:lang w:val="pl-PL"/>
        </w:rPr>
        <w:t>.</w:t>
      </w:r>
      <w:r w:rsidR="00CD6259">
        <w:rPr>
          <w:rFonts w:eastAsia="Calibri" w:cstheme="minorHAnsi"/>
          <w:b/>
          <w:color w:val="4F2D7F"/>
          <w:sz w:val="20"/>
          <w:lang w:val="pl-PL"/>
        </w:rPr>
        <w:t xml:space="preserve"> </w:t>
      </w:r>
    </w:p>
    <w:p w:rsidR="000C0104" w:rsidRDefault="00DA5B3C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b/>
          <w:color w:val="4F2D7F"/>
          <w:sz w:val="20"/>
          <w:lang w:val="pl-PL"/>
        </w:rPr>
        <w:t xml:space="preserve"> </w:t>
      </w:r>
    </w:p>
    <w:p w:rsidR="00ED1546" w:rsidRPr="000C0104" w:rsidRDefault="000C0104" w:rsidP="00D8712F">
      <w:pPr>
        <w:pStyle w:val="Tekstpodstawowy"/>
        <w:spacing w:after="0" w:line="360" w:lineRule="auto"/>
        <w:rPr>
          <w:rFonts w:eastAsia="Calibri" w:cstheme="minorHAnsi"/>
          <w:b/>
          <w:color w:val="4F2D7F"/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46438</wp:posOffset>
            </wp:positionV>
            <wp:extent cx="660434" cy="615982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34" cy="61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CA4">
        <w:rPr>
          <w:rFonts w:eastAsia="Calibri" w:cstheme="minorHAnsi"/>
          <w:i/>
          <w:sz w:val="20"/>
          <w:lang w:val="pl-PL"/>
        </w:rPr>
        <w:t>Nadprodukcja prawa w Polsce wyrządziła w ostatnich dwóch dekadach wiele złego polskim przedsiębiorcom i polskiej gospodarce. Zmienność otoczenia prawnego stała się syste</w:t>
      </w:r>
      <w:r w:rsidR="003A40B6">
        <w:rPr>
          <w:rFonts w:eastAsia="Calibri" w:cstheme="minorHAnsi"/>
          <w:i/>
          <w:sz w:val="20"/>
          <w:lang w:val="pl-PL"/>
        </w:rPr>
        <w:t>mową barierą rozwoju naszego kraju</w:t>
      </w:r>
      <w:r w:rsidR="00506CA4">
        <w:rPr>
          <w:rFonts w:eastAsia="Calibri" w:cstheme="minorHAnsi"/>
          <w:i/>
          <w:sz w:val="20"/>
          <w:lang w:val="pl-PL"/>
        </w:rPr>
        <w:t>. Dlatego z pewnym niepokojem przyjmujem</w:t>
      </w:r>
      <w:r w:rsidR="0072018B">
        <w:rPr>
          <w:rFonts w:eastAsia="Calibri" w:cstheme="minorHAnsi"/>
          <w:i/>
          <w:sz w:val="20"/>
          <w:lang w:val="pl-PL"/>
        </w:rPr>
        <w:t>y fakt, że dwuletni okres spadku</w:t>
      </w:r>
      <w:r w:rsidR="00506CA4">
        <w:rPr>
          <w:rFonts w:eastAsia="Calibri" w:cstheme="minorHAnsi"/>
          <w:i/>
          <w:sz w:val="20"/>
          <w:lang w:val="pl-PL"/>
        </w:rPr>
        <w:t xml:space="preserve"> produkcji prawa został</w:t>
      </w:r>
      <w:r w:rsidR="0072018B">
        <w:rPr>
          <w:rFonts w:eastAsia="Calibri" w:cstheme="minorHAnsi"/>
          <w:i/>
          <w:sz w:val="20"/>
          <w:lang w:val="pl-PL"/>
        </w:rPr>
        <w:t xml:space="preserve"> w ostatnim półroczu</w:t>
      </w:r>
      <w:r w:rsidR="00506CA4">
        <w:rPr>
          <w:rFonts w:eastAsia="Calibri" w:cstheme="minorHAnsi"/>
          <w:i/>
          <w:sz w:val="20"/>
          <w:lang w:val="pl-PL"/>
        </w:rPr>
        <w:t xml:space="preserve"> </w:t>
      </w:r>
      <w:r w:rsidR="0072018B">
        <w:rPr>
          <w:rFonts w:eastAsia="Calibri" w:cstheme="minorHAnsi"/>
          <w:i/>
          <w:sz w:val="20"/>
          <w:lang w:val="pl-PL"/>
        </w:rPr>
        <w:t>zatrzymany. Mamy nadzieję, że to tylko chwil</w:t>
      </w:r>
      <w:r w:rsidR="00990955">
        <w:rPr>
          <w:rFonts w:eastAsia="Calibri" w:cstheme="minorHAnsi"/>
          <w:i/>
          <w:sz w:val="20"/>
          <w:lang w:val="pl-PL"/>
        </w:rPr>
        <w:t>ow</w:t>
      </w:r>
      <w:r w:rsidR="0072018B">
        <w:rPr>
          <w:rFonts w:eastAsia="Calibri" w:cstheme="minorHAnsi"/>
          <w:i/>
          <w:sz w:val="20"/>
          <w:lang w:val="pl-PL"/>
        </w:rPr>
        <w:t>e wyhamowanie i w drugiej połowie roku pozytywny trend powróci</w:t>
      </w:r>
      <w:r w:rsidR="00361CB6">
        <w:rPr>
          <w:rFonts w:eastAsia="Calibri" w:cstheme="minorHAnsi"/>
          <w:i/>
          <w:sz w:val="20"/>
          <w:lang w:val="pl-PL"/>
        </w:rPr>
        <w:t xml:space="preserve"> </w:t>
      </w:r>
      <w:r w:rsidR="001B3754">
        <w:rPr>
          <w:rFonts w:eastAsia="Calibri" w:cstheme="minorHAnsi"/>
          <w:sz w:val="20"/>
          <w:lang w:val="pl-PL"/>
        </w:rPr>
        <w:t xml:space="preserve">– komentuje </w:t>
      </w:r>
      <w:r w:rsidR="0072018B">
        <w:rPr>
          <w:rFonts w:eastAsia="Calibri" w:cstheme="minorHAnsi"/>
          <w:b/>
          <w:sz w:val="20"/>
          <w:lang w:val="pl-PL"/>
        </w:rPr>
        <w:t>Tomasz Wróblewski</w:t>
      </w:r>
      <w:r w:rsidR="00043B07">
        <w:rPr>
          <w:rFonts w:eastAsia="Calibri" w:cstheme="minorHAnsi"/>
          <w:sz w:val="20"/>
          <w:lang w:val="pl-PL"/>
        </w:rPr>
        <w:t xml:space="preserve">, Partner Zarządzający </w:t>
      </w:r>
      <w:r w:rsidR="001B3754">
        <w:rPr>
          <w:rFonts w:eastAsia="Calibri" w:cstheme="minorHAnsi"/>
          <w:sz w:val="20"/>
          <w:lang w:val="pl-PL"/>
        </w:rPr>
        <w:t>Grant Thornton.</w:t>
      </w:r>
      <w:r w:rsidR="002C5EBF">
        <w:rPr>
          <w:rFonts w:eastAsia="Calibri" w:cstheme="minorHAnsi"/>
          <w:sz w:val="20"/>
          <w:lang w:val="pl-PL"/>
        </w:rPr>
        <w:t xml:space="preserve"> </w:t>
      </w:r>
    </w:p>
    <w:p w:rsidR="00D8712F" w:rsidRPr="00F10F54" w:rsidRDefault="00D8712F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E94767" w:rsidRDefault="00E94767" w:rsidP="00D8712F">
      <w:pPr>
        <w:pStyle w:val="Tekstpodstawowy"/>
        <w:spacing w:after="0" w:line="360" w:lineRule="auto"/>
        <w:rPr>
          <w:b/>
          <w:sz w:val="20"/>
          <w:lang w:val="pl-PL"/>
        </w:rPr>
      </w:pPr>
      <w:r w:rsidRPr="003A40B6">
        <w:rPr>
          <w:b/>
          <w:sz w:val="20"/>
          <w:lang w:val="pl-PL"/>
        </w:rPr>
        <w:t>Wykres. Liczba stron aktów prawnych, które ukazały się w Dzienniku Ustaw w poszczególnych latach</w:t>
      </w:r>
    </w:p>
    <w:p w:rsidR="00E94767" w:rsidRDefault="00C03998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07EE70E2" wp14:editId="371AC0B5">
            <wp:extent cx="6551295" cy="3935896"/>
            <wp:effectExtent l="0" t="0" r="1905" b="762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712F" w:rsidRPr="0071541C" w:rsidRDefault="00D8712F" w:rsidP="00D8712F">
      <w:pPr>
        <w:pStyle w:val="Tekstpodstawowy"/>
        <w:spacing w:after="0" w:line="360" w:lineRule="auto"/>
        <w:rPr>
          <w:sz w:val="14"/>
          <w:lang w:val="pl-PL"/>
        </w:rPr>
      </w:pPr>
    </w:p>
    <w:p w:rsidR="00D8712F" w:rsidRDefault="00E94767" w:rsidP="00D067EF">
      <w:pPr>
        <w:pStyle w:val="Tekstpodstawowy"/>
        <w:spacing w:after="0" w:line="360" w:lineRule="auto"/>
        <w:rPr>
          <w:lang w:val="pl-PL"/>
        </w:rPr>
      </w:pPr>
      <w:r w:rsidRPr="00043B07">
        <w:rPr>
          <w:lang w:val="pl-PL"/>
        </w:rPr>
        <w:t>*Liczba stron</w:t>
      </w:r>
      <w:r w:rsidR="00C03998">
        <w:rPr>
          <w:lang w:val="pl-PL"/>
        </w:rPr>
        <w:t xml:space="preserve"> aktów prawnych za cały rok 2019</w:t>
      </w:r>
      <w:r w:rsidRPr="00043B07">
        <w:rPr>
          <w:lang w:val="pl-PL"/>
        </w:rPr>
        <w:t xml:space="preserve">, skalkulowana przy założeniu, że w całym </w:t>
      </w:r>
      <w:r w:rsidR="007B4C13">
        <w:rPr>
          <w:lang w:val="pl-PL"/>
        </w:rPr>
        <w:t>roku</w:t>
      </w:r>
      <w:r w:rsidRPr="00043B07">
        <w:rPr>
          <w:lang w:val="pl-PL"/>
        </w:rPr>
        <w:t xml:space="preserve"> utrzymana zostanie dynamika odno</w:t>
      </w:r>
      <w:r w:rsidR="007B4C13">
        <w:rPr>
          <w:lang w:val="pl-PL"/>
        </w:rPr>
        <w:t>towana w pierwsz</w:t>
      </w:r>
      <w:r w:rsidR="00AA694E">
        <w:rPr>
          <w:lang w:val="pl-PL"/>
        </w:rPr>
        <w:t>ym półroczu 2019 r., czyli</w:t>
      </w:r>
      <w:r w:rsidR="00C03998">
        <w:rPr>
          <w:lang w:val="pl-PL"/>
        </w:rPr>
        <w:t xml:space="preserve"> 5,6</w:t>
      </w:r>
      <w:r w:rsidRPr="00043B07">
        <w:rPr>
          <w:lang w:val="pl-PL"/>
        </w:rPr>
        <w:t xml:space="preserve"> proc. rok do roku.</w:t>
      </w:r>
    </w:p>
    <w:p w:rsidR="00DD2D6F" w:rsidRDefault="00DD2D6F" w:rsidP="00D067EF">
      <w:pPr>
        <w:pStyle w:val="Tekstpodstawowy"/>
        <w:spacing w:after="0" w:line="360" w:lineRule="auto"/>
        <w:jc w:val="right"/>
        <w:rPr>
          <w:sz w:val="16"/>
          <w:lang w:val="pl-PL"/>
        </w:rPr>
      </w:pPr>
    </w:p>
    <w:p w:rsidR="00E94767" w:rsidRPr="00D067EF" w:rsidRDefault="00E94767" w:rsidP="00DD2D6F">
      <w:pPr>
        <w:pStyle w:val="Tekstpodstawowy"/>
        <w:spacing w:after="0" w:line="360" w:lineRule="auto"/>
        <w:rPr>
          <w:sz w:val="16"/>
          <w:lang w:val="pl-PL"/>
        </w:rPr>
      </w:pPr>
      <w:r w:rsidRPr="00D067EF">
        <w:rPr>
          <w:sz w:val="16"/>
          <w:lang w:val="pl-PL"/>
        </w:rPr>
        <w:t>Źródło: Opracowanie własne Grant Thornton na podstawie Dziennika Ustaw</w:t>
      </w:r>
    </w:p>
    <w:p w:rsidR="007D6C93" w:rsidRPr="00BD000B" w:rsidRDefault="007D6C93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136673" w:rsidRDefault="00125D84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sz w:val="20"/>
          <w:lang w:val="pl-PL"/>
        </w:rPr>
        <w:lastRenderedPageBreak/>
        <w:t>Warto jednak zaznaczyć, że</w:t>
      </w:r>
      <w:r w:rsidR="00F46B2C">
        <w:rPr>
          <w:sz w:val="20"/>
          <w:lang w:val="pl-PL"/>
        </w:rPr>
        <w:t xml:space="preserve"> </w:t>
      </w:r>
      <w:r w:rsidR="00D067EF">
        <w:rPr>
          <w:sz w:val="20"/>
          <w:lang w:val="pl-PL"/>
        </w:rPr>
        <w:t>mimo spadku produkcji przepisów w ostatnich latach, nadal z punktu widzenia polskich przedsiębiorstw i obywateli jest ona bardzo duża</w:t>
      </w:r>
      <w:r w:rsidR="001E511F">
        <w:rPr>
          <w:sz w:val="20"/>
          <w:lang w:val="pl-PL"/>
        </w:rPr>
        <w:t>.</w:t>
      </w:r>
      <w:r w:rsidR="00C227DC">
        <w:rPr>
          <w:sz w:val="20"/>
          <w:lang w:val="pl-PL"/>
        </w:rPr>
        <w:t xml:space="preserve"> </w:t>
      </w:r>
      <w:r w:rsidR="00C0206F">
        <w:rPr>
          <w:sz w:val="20"/>
          <w:lang w:val="pl-PL"/>
        </w:rPr>
        <w:t>Jeśli ktoś chciałby przeczytać wszystkie publikowane nowe akty prawne najwyższego rzędu, to w</w:t>
      </w:r>
      <w:r w:rsidR="00D067EF">
        <w:rPr>
          <w:sz w:val="20"/>
          <w:lang w:val="pl-PL"/>
        </w:rPr>
        <w:t xml:space="preserve"> I półroczu 2019</w:t>
      </w:r>
      <w:r>
        <w:rPr>
          <w:sz w:val="20"/>
          <w:lang w:val="pl-PL"/>
        </w:rPr>
        <w:t xml:space="preserve"> r.</w:t>
      </w:r>
      <w:r w:rsidR="00C0206F">
        <w:rPr>
          <w:sz w:val="20"/>
          <w:lang w:val="pl-PL"/>
        </w:rPr>
        <w:t xml:space="preserve"> miałby do przeczytania </w:t>
      </w:r>
      <w:r w:rsidR="00DE6A98">
        <w:rPr>
          <w:sz w:val="20"/>
          <w:lang w:val="pl-PL"/>
        </w:rPr>
        <w:t xml:space="preserve">95 stron każdego dnia roboczego, więc musiałby poświęcić na to średnio co najmniej 3 godziny i 10 minut </w:t>
      </w:r>
      <w:r>
        <w:rPr>
          <w:sz w:val="20"/>
          <w:lang w:val="pl-PL"/>
        </w:rPr>
        <w:t>(przy konserwatywnym założeniu, że na jedną stronę potrzeba średnio 2 minut)</w:t>
      </w:r>
      <w:r w:rsidR="000B057D">
        <w:rPr>
          <w:sz w:val="20"/>
          <w:lang w:val="pl-PL"/>
        </w:rPr>
        <w:t xml:space="preserve">. </w:t>
      </w:r>
      <w:r w:rsidR="00DE6A98">
        <w:rPr>
          <w:sz w:val="20"/>
          <w:lang w:val="pl-PL"/>
        </w:rPr>
        <w:t xml:space="preserve">Warto mieć świadomość, że byłby to jednak nadal zaledwie wstęp do pełnego zrozumienia wchodzących w życie zmian </w:t>
      </w:r>
      <w:r w:rsidR="003F54DC">
        <w:rPr>
          <w:sz w:val="20"/>
          <w:lang w:val="pl-PL"/>
        </w:rPr>
        <w:t>–</w:t>
      </w:r>
      <w:r w:rsidR="00DE6A98">
        <w:rPr>
          <w:sz w:val="20"/>
          <w:lang w:val="pl-PL"/>
        </w:rPr>
        <w:t xml:space="preserve"> </w:t>
      </w:r>
      <w:r w:rsidR="003F54DC">
        <w:rPr>
          <w:sz w:val="20"/>
          <w:lang w:val="pl-PL"/>
        </w:rPr>
        <w:t>zdecydowana większość publikowanych ustaw i rozporządzeń to nowelizacje starych funkcjonujących</w:t>
      </w:r>
      <w:r w:rsidR="000C0104">
        <w:rPr>
          <w:sz w:val="20"/>
          <w:lang w:val="pl-PL"/>
        </w:rPr>
        <w:t xml:space="preserve"> aktów prawnych</w:t>
      </w:r>
      <w:r w:rsidR="003F54DC">
        <w:rPr>
          <w:sz w:val="20"/>
          <w:lang w:val="pl-PL"/>
        </w:rPr>
        <w:t xml:space="preserve">, a więc zawierają jedynie nieczytelne, wyrwane z kontekstu zdania czy akapity. Aby poznać ich sens, należy odnieść je do tekstów źródłowych, a to oznaczałoby </w:t>
      </w:r>
      <w:r w:rsidR="000C0104">
        <w:rPr>
          <w:sz w:val="20"/>
          <w:lang w:val="pl-PL"/>
        </w:rPr>
        <w:t>konieczność analizy</w:t>
      </w:r>
      <w:r w:rsidR="003F54DC">
        <w:rPr>
          <w:sz w:val="20"/>
          <w:lang w:val="pl-PL"/>
        </w:rPr>
        <w:t xml:space="preserve"> wielokrotnie większej liczby stron przepisów prawa.  </w:t>
      </w:r>
    </w:p>
    <w:p w:rsidR="00D8712F" w:rsidRDefault="0071541C" w:rsidP="00D8712F">
      <w:pPr>
        <w:pStyle w:val="Tekstpodstawowy"/>
        <w:spacing w:after="0" w:line="360" w:lineRule="auto"/>
        <w:rPr>
          <w:sz w:val="20"/>
          <w:lang w:val="pl-PL"/>
        </w:rPr>
      </w:pPr>
      <w:r>
        <w:rPr>
          <w:rFonts w:eastAsia="Calibri" w:cstheme="minorHAnsi"/>
          <w:i/>
          <w:noProof/>
          <w:sz w:val="20"/>
          <w:lang w:val="pl-PL" w:eastAsia="pl-PL"/>
        </w:rPr>
        <w:drawing>
          <wp:anchor distT="0" distB="0" distL="114300" distR="114300" simplePos="0" relativeHeight="251660288" behindDoc="0" locked="0" layoutInCell="1" allowOverlap="1" wp14:anchorId="17487C58" wp14:editId="52D6EB06">
            <wp:simplePos x="0" y="0"/>
            <wp:positionH relativeFrom="column">
              <wp:posOffset>-120650</wp:posOffset>
            </wp:positionH>
            <wp:positionV relativeFrom="paragraph">
              <wp:posOffset>253365</wp:posOffset>
            </wp:positionV>
            <wp:extent cx="660400" cy="615950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12F" w:rsidRDefault="00D8712F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C23D87" w:rsidRDefault="00597E0D" w:rsidP="00D8712F">
      <w:pPr>
        <w:pStyle w:val="Tekstpodstawowy"/>
        <w:spacing w:after="0" w:line="360" w:lineRule="auto"/>
        <w:rPr>
          <w:i/>
          <w:sz w:val="20"/>
          <w:lang w:val="pl-PL"/>
        </w:rPr>
      </w:pPr>
      <w:r>
        <w:rPr>
          <w:i/>
          <w:sz w:val="20"/>
          <w:lang w:val="pl-PL"/>
        </w:rPr>
        <w:t>Wielokrotnie powtarzaliśmy, że n</w:t>
      </w:r>
      <w:r w:rsidR="000C0104">
        <w:rPr>
          <w:i/>
          <w:sz w:val="20"/>
          <w:lang w:val="pl-PL"/>
        </w:rPr>
        <w:t>ie jesteśmy przeciwnikami zmian w prawie. Przepisy oczywiście muszą być tworzone i korygowane</w:t>
      </w:r>
      <w:r w:rsidR="00C04FB3">
        <w:rPr>
          <w:i/>
          <w:sz w:val="20"/>
          <w:lang w:val="pl-PL"/>
        </w:rPr>
        <w:t>,</w:t>
      </w:r>
      <w:r w:rsidR="00CD0787">
        <w:rPr>
          <w:i/>
          <w:sz w:val="20"/>
          <w:lang w:val="pl-PL"/>
        </w:rPr>
        <w:t xml:space="preserve"> </w:t>
      </w:r>
      <w:r w:rsidR="00566DFB">
        <w:rPr>
          <w:i/>
          <w:sz w:val="20"/>
          <w:lang w:val="pl-PL"/>
        </w:rPr>
        <w:t>aby</w:t>
      </w:r>
      <w:r w:rsidR="00CD0787">
        <w:rPr>
          <w:i/>
          <w:sz w:val="20"/>
          <w:lang w:val="pl-PL"/>
        </w:rPr>
        <w:t xml:space="preserve"> odpowiednio</w:t>
      </w:r>
      <w:r w:rsidR="00566DFB">
        <w:rPr>
          <w:i/>
          <w:sz w:val="20"/>
          <w:lang w:val="pl-PL"/>
        </w:rPr>
        <w:t xml:space="preserve"> </w:t>
      </w:r>
      <w:r w:rsidR="000C0104">
        <w:rPr>
          <w:i/>
          <w:sz w:val="20"/>
          <w:lang w:val="pl-PL"/>
        </w:rPr>
        <w:t>dostosować prawodawstwo</w:t>
      </w:r>
      <w:r w:rsidR="00785E49" w:rsidRPr="00B63757">
        <w:rPr>
          <w:i/>
          <w:sz w:val="20"/>
          <w:lang w:val="pl-PL"/>
        </w:rPr>
        <w:t xml:space="preserve"> do zmieniającej się </w:t>
      </w:r>
      <w:r w:rsidR="00C568CA" w:rsidRPr="00B63757">
        <w:rPr>
          <w:i/>
          <w:sz w:val="20"/>
          <w:lang w:val="pl-PL"/>
        </w:rPr>
        <w:t>rzeczywistości oraz</w:t>
      </w:r>
      <w:r w:rsidR="00CD0787">
        <w:rPr>
          <w:i/>
          <w:sz w:val="20"/>
          <w:lang w:val="pl-PL"/>
        </w:rPr>
        <w:t xml:space="preserve"> aby poprawiać istniejące, źle skonstruowane przepisy</w:t>
      </w:r>
      <w:r w:rsidR="00C568CA" w:rsidRPr="00B63757">
        <w:rPr>
          <w:i/>
          <w:sz w:val="20"/>
          <w:lang w:val="pl-PL"/>
        </w:rPr>
        <w:t xml:space="preserve">. </w:t>
      </w:r>
      <w:r w:rsidR="000C0104">
        <w:rPr>
          <w:i/>
          <w:sz w:val="20"/>
          <w:lang w:val="pl-PL"/>
        </w:rPr>
        <w:t xml:space="preserve">Skala produkcji prawa </w:t>
      </w:r>
      <w:r w:rsidR="00F17F9C">
        <w:rPr>
          <w:i/>
          <w:sz w:val="20"/>
          <w:lang w:val="pl-PL"/>
        </w:rPr>
        <w:t>jest jednak, w </w:t>
      </w:r>
      <w:r w:rsidR="003F54DC">
        <w:rPr>
          <w:i/>
          <w:sz w:val="20"/>
          <w:lang w:val="pl-PL"/>
        </w:rPr>
        <w:t xml:space="preserve">naszej opinii, </w:t>
      </w:r>
      <w:r w:rsidR="000C0104">
        <w:rPr>
          <w:i/>
          <w:sz w:val="20"/>
          <w:lang w:val="pl-PL"/>
        </w:rPr>
        <w:t xml:space="preserve">nadal </w:t>
      </w:r>
      <w:r w:rsidR="003F54DC">
        <w:rPr>
          <w:i/>
          <w:sz w:val="20"/>
          <w:lang w:val="pl-PL"/>
        </w:rPr>
        <w:t>zbyt duża</w:t>
      </w:r>
      <w:r w:rsidR="009C525E">
        <w:rPr>
          <w:i/>
          <w:sz w:val="20"/>
          <w:lang w:val="pl-PL"/>
        </w:rPr>
        <w:t>, a jakość stanowienia prawa pozostawia wiele do życzenia</w:t>
      </w:r>
      <w:r w:rsidR="00B72A99">
        <w:rPr>
          <w:i/>
          <w:sz w:val="20"/>
          <w:lang w:val="pl-PL"/>
        </w:rPr>
        <w:t xml:space="preserve"> </w:t>
      </w:r>
      <w:r w:rsidR="003F54DC">
        <w:rPr>
          <w:sz w:val="20"/>
          <w:lang w:val="pl-PL"/>
        </w:rPr>
        <w:t xml:space="preserve">– mówi </w:t>
      </w:r>
      <w:r w:rsidR="003F54DC" w:rsidRPr="000C0104">
        <w:rPr>
          <w:b/>
          <w:sz w:val="20"/>
          <w:lang w:val="pl-PL"/>
        </w:rPr>
        <w:t>Tomasz Wróblewski</w:t>
      </w:r>
      <w:r w:rsidR="00BD000B">
        <w:rPr>
          <w:i/>
          <w:sz w:val="20"/>
          <w:lang w:val="pl-PL"/>
        </w:rPr>
        <w:t>.</w:t>
      </w:r>
      <w:r w:rsidR="00486D88">
        <w:rPr>
          <w:i/>
          <w:sz w:val="20"/>
          <w:lang w:val="pl-PL"/>
        </w:rPr>
        <w:t xml:space="preserve"> </w:t>
      </w:r>
    </w:p>
    <w:p w:rsidR="00D8712F" w:rsidRDefault="00D8712F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87247B" w:rsidRDefault="0087247B" w:rsidP="00D8712F">
      <w:pPr>
        <w:pStyle w:val="Tekstpodstawowy"/>
        <w:spacing w:after="0" w:line="360" w:lineRule="auto"/>
        <w:rPr>
          <w:sz w:val="20"/>
          <w:lang w:val="pl-PL"/>
        </w:rPr>
      </w:pPr>
    </w:p>
    <w:p w:rsidR="00DA5EB8" w:rsidRDefault="0048296D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r w:rsidRPr="0048296D">
        <w:rPr>
          <w:rFonts w:eastAsia="Calibri" w:cstheme="minorHAnsi"/>
          <w:sz w:val="20"/>
          <w:lang w:val="pl-PL"/>
        </w:rPr>
        <w:t xml:space="preserve">Wyniki badań prowadzonych w ramach projektu „Barometr stabilności otoczenia prawnego w polskiej gospodarce” na bieżąco, raz na kwartał, prezentowane są na stronie </w:t>
      </w:r>
      <w:hyperlink r:id="rId9" w:history="1">
        <w:r w:rsidRPr="0048296D">
          <w:rPr>
            <w:rStyle w:val="Hipercze"/>
            <w:rFonts w:eastAsia="Calibri" w:cstheme="minorHAnsi"/>
            <w:b/>
            <w:color w:val="7030A0"/>
            <w:sz w:val="20"/>
            <w:lang w:val="pl-PL"/>
          </w:rPr>
          <w:t>BarometrPrawa.pl</w:t>
        </w:r>
      </w:hyperlink>
      <w:r w:rsidRPr="0048296D">
        <w:rPr>
          <w:rFonts w:eastAsia="Calibri" w:cstheme="minorHAnsi"/>
          <w:color w:val="7030A0"/>
          <w:sz w:val="20"/>
          <w:lang w:val="pl-PL"/>
        </w:rPr>
        <w:t>.</w:t>
      </w:r>
      <w:r w:rsidR="009C525E">
        <w:rPr>
          <w:rFonts w:eastAsia="Calibri" w:cstheme="minorHAnsi"/>
          <w:sz w:val="20"/>
          <w:lang w:val="pl-PL"/>
        </w:rPr>
        <w:t xml:space="preserve"> </w:t>
      </w:r>
    </w:p>
    <w:p w:rsidR="009C525E" w:rsidRDefault="009C525E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17B58" w:rsidRDefault="00417B58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417B58" w:rsidRDefault="00417B58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A5EB8" w:rsidRPr="00DA5EB8" w:rsidRDefault="00DA5EB8" w:rsidP="00DA5EB8">
      <w:pPr>
        <w:spacing w:after="0" w:line="240" w:lineRule="auto"/>
        <w:jc w:val="center"/>
        <w:rPr>
          <w:color w:val="000000" w:themeColor="text1"/>
          <w:sz w:val="20"/>
          <w:lang w:val="pl-PL"/>
        </w:rPr>
      </w:pPr>
      <w:r>
        <w:rPr>
          <w:sz w:val="20"/>
          <w:lang w:val="pl-PL"/>
        </w:rPr>
        <w:t>- koniec -</w:t>
      </w:r>
    </w:p>
    <w:p w:rsidR="009B52BD" w:rsidRDefault="009B52BD" w:rsidP="009B52BD">
      <w:pPr>
        <w:pStyle w:val="Tekstpodstawowy"/>
        <w:rPr>
          <w:rFonts w:eastAsia="Calibri"/>
          <w:lang w:val="pl-PL"/>
        </w:rPr>
      </w:pPr>
    </w:p>
    <w:p w:rsidR="0048296D" w:rsidRDefault="00C84666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  <w:bookmarkStart w:id="1" w:name="_GoBack"/>
      <w:bookmarkEnd w:id="1"/>
      <w:r w:rsidRPr="009B52BD">
        <w:rPr>
          <w:rFonts w:eastAsia="Calibri" w:cstheme="minorHAnsi"/>
          <w:noProof/>
          <w:sz w:val="20"/>
          <w:lang w:val="pl-PL"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0</wp:posOffset>
                </wp:positionV>
                <wp:extent cx="6159500" cy="80486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04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3F" w:rsidRDefault="0024233F" w:rsidP="00D00C82">
                            <w:pPr>
                              <w:spacing w:after="0" w:line="276" w:lineRule="auto"/>
                              <w:rPr>
                                <w:b/>
                                <w:color w:val="00A1B5"/>
                                <w:sz w:val="10"/>
                                <w:lang w:val="pl-PL"/>
                              </w:rPr>
                            </w:pPr>
                          </w:p>
                          <w:p w:rsidR="004B2BE4" w:rsidRPr="0024233F" w:rsidRDefault="004B2BE4" w:rsidP="00D00C82">
                            <w:pPr>
                              <w:spacing w:after="0" w:line="276" w:lineRule="auto"/>
                              <w:rPr>
                                <w:b/>
                                <w:color w:val="00A1B5"/>
                                <w:sz w:val="10"/>
                                <w:lang w:val="pl-PL"/>
                              </w:rPr>
                            </w:pPr>
                          </w:p>
                          <w:p w:rsidR="009B52BD" w:rsidRPr="009B52BD" w:rsidRDefault="009B52BD" w:rsidP="00D00C82">
                            <w:pPr>
                              <w:spacing w:after="0" w:line="276" w:lineRule="auto"/>
                              <w:rPr>
                                <w:b/>
                                <w:color w:val="4F2D7F"/>
                                <w:sz w:val="22"/>
                                <w:lang w:val="pl-PL"/>
                              </w:rPr>
                            </w:pPr>
                            <w:r w:rsidRPr="00DA5EB8">
                              <w:rPr>
                                <w:b/>
                                <w:color w:val="00A1B5"/>
                                <w:sz w:val="22"/>
                                <w:lang w:val="pl-PL"/>
                              </w:rPr>
                              <w:t xml:space="preserve">WAŻNE: </w:t>
                            </w:r>
                            <w:r w:rsidRPr="009B52BD">
                              <w:rPr>
                                <w:b/>
                                <w:color w:val="4F2D7F"/>
                                <w:sz w:val="22"/>
                                <w:lang w:val="pl-PL"/>
                              </w:rPr>
                              <w:t>Dostosowania w metodologii</w:t>
                            </w:r>
                          </w:p>
                          <w:p w:rsidR="009B52BD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4B2BE4" w:rsidRPr="00C03998" w:rsidRDefault="004B2BE4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>Po pięciu latach prowadzenia projektu zdecydowaliśmy się nieco doprecyzować metodologię obliczania wyników „Ba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rometru..”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. Zwiększają one porównywalność wyników między poszczególnymi okresami, a także je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 xml:space="preserve"> – w naszej ocenie –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obiektywizują.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F17F9C" w:rsidP="00D00C82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  <w:t>Teksty jednolite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>Kiedy rozpoczynaliśmy pracę nad Barometrem publikowanie w Dzienniku Ustaw tekstów jednolitych ustaw i rozporządzeń było rzadkością (stanowiły one 2-5 proc. aktów prawnych), więc nie wpływały one istotnie na wyniki Batometru. W ostatnich latach skala publikowania tekstów jednolitych jednak silnie wzrosła i w coraz większym stopniu wpływa na kształt obliczeń, dlatego oczyściliśmy nasz wskaźnik ze wszystkich tekstów jednolitych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 xml:space="preserve"> wstecz ze wszystkich lat od 1999 r. do teraz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.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9B52BD" w:rsidP="00D00C82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  <w:t>Umowy międzynarodowe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Dotąd jako ustawy najwyższego rzędu klasyfikowaliśmy ustawy i rozporządzenia, natomiast – zgodnie z 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najczęściej spotykaną klasyfikacją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aktów prawnych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, do grona tego powinny być wliczane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również umowy międzynarod</w:t>
                            </w:r>
                            <w:r w:rsidR="000262E7">
                              <w:rPr>
                                <w:sz w:val="16"/>
                                <w:lang w:val="pl-PL"/>
                              </w:rPr>
                              <w:t xml:space="preserve">owe, a więc np. umowy między Polską a innym krajem o unikaniu opodatkowania albo o 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wolnym handlu.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Mają one nie tylko w</w:t>
                            </w:r>
                            <w:r w:rsidR="00F17F9C">
                              <w:rPr>
                                <w:sz w:val="16"/>
                                <w:lang w:val="pl-PL"/>
                              </w:rPr>
                              <w:t>ysoką wagę polityczną i rangę w 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hierarchii aktów prawnych, ale też często silnie wpływają na działalność przedsiębiorstw, zwłaszcza handel</w:t>
                            </w:r>
                            <w:r w:rsidR="00F17F9C">
                              <w:rPr>
                                <w:sz w:val="16"/>
                                <w:lang w:val="pl-PL"/>
                              </w:rPr>
                              <w:t xml:space="preserve"> zagraniczny i </w:t>
                            </w:r>
                            <w:r w:rsidR="0038021A">
                              <w:rPr>
                                <w:sz w:val="16"/>
                                <w:lang w:val="pl-PL"/>
                              </w:rPr>
                              <w:t>ekspansję zagraniczną. D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latego postanowiliśmy je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uwzględniać w naszych obliczeniach.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</w:p>
                          <w:p w:rsidR="009B52BD" w:rsidRPr="00C03998" w:rsidRDefault="009B52BD" w:rsidP="00D00C82">
                            <w:pPr>
                              <w:pStyle w:val="Akapitzlist"/>
                              <w:numPr>
                                <w:ilvl w:val="0"/>
                                <w:numId w:val="35"/>
                              </w:numPr>
                              <w:spacing w:after="0" w:line="276" w:lineRule="auto"/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b/>
                                <w:color w:val="4F2D7F"/>
                                <w:sz w:val="16"/>
                                <w:lang w:val="pl-PL"/>
                              </w:rPr>
                              <w:t>Duże załączniki</w:t>
                            </w:r>
                          </w:p>
                          <w:p w:rsidR="009B52BD" w:rsidRPr="00C03998" w:rsidRDefault="009B52BD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>D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otychczas w wynikach „Barometru…”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nie braliśmy pod uwagę dużych załączni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ków do aktów prawnych w postaci</w:t>
                            </w:r>
                            <w:r w:rsidR="001D5E0E" w:rsidRPr="00C03998">
                              <w:rPr>
                                <w:sz w:val="16"/>
                                <w:lang w:val="pl-PL"/>
                              </w:rPr>
                              <w:t xml:space="preserve"> np. liczących kilkaset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stron zestawień tabelarycznych. Było to jednak subiektywne kryterium, co rodziło spory interpretacyjne na temat tego, które zestawienia powinny być brane pod uwagę, a które nie. </w:t>
                            </w:r>
                            <w:r w:rsidR="006C2380" w:rsidRPr="00C03998">
                              <w:rPr>
                                <w:sz w:val="16"/>
                                <w:lang w:val="pl-PL"/>
                              </w:rPr>
                              <w:t xml:space="preserve">Na przykład niektóre duże objętościowo tabele są z punktu widzenia działalności gospodarczej dużo istotniejsze niż część tekstowa (np. matryca VAT). 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>Dlatego – aby zwiększyć obiektywizm obserwacji – zdecydowaliśmy się uwzględniać akty prawne w całości, łącznie niezależnie od ich wagi merytorycznej, istotności treści dla odbiorców czy układu graficznego.</w:t>
                            </w:r>
                            <w:r w:rsidR="001D5E0E" w:rsidRPr="00C03998">
                              <w:rPr>
                                <w:sz w:val="16"/>
                                <w:lang w:val="pl-PL"/>
                              </w:rPr>
                              <w:t xml:space="preserve"> Jako wyjątek uznajemy jedynie</w:t>
                            </w:r>
                            <w:r w:rsidR="006C2380" w:rsidRPr="00C03998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="001D5E0E" w:rsidRPr="00C03998">
                              <w:rPr>
                                <w:sz w:val="16"/>
                                <w:lang w:val="pl-PL"/>
                              </w:rPr>
                              <w:t>tabele o objętości powyżej 5 tys. stron</w:t>
                            </w:r>
                            <w:r w:rsidR="00C03998" w:rsidRPr="00C03998">
                              <w:rPr>
                                <w:sz w:val="16"/>
                                <w:lang w:val="pl-PL"/>
                              </w:rPr>
                              <w:t>, pojawiające się niezwykle rzadko (jeden taki przypadek w ciągu 10 lat), a silnie zaburzające wyniki roczne.</w:t>
                            </w:r>
                          </w:p>
                          <w:p w:rsidR="00C84666" w:rsidRPr="00C03998" w:rsidRDefault="00C84666" w:rsidP="00D00C82">
                            <w:pPr>
                              <w:spacing w:after="0" w:line="276" w:lineRule="auto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  <w:p w:rsidR="009C6D04" w:rsidRPr="00C03998" w:rsidRDefault="00C84666" w:rsidP="00D00C82">
                            <w:pPr>
                              <w:spacing w:after="0" w:line="276" w:lineRule="auto"/>
                              <w:rPr>
                                <w:noProof/>
                                <w:sz w:val="16"/>
                                <w:lang w:val="pl-PL" w:eastAsia="pl-PL"/>
                              </w:rPr>
                            </w:pP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Powyższe zmiany wprowadziliśmy dla naszego 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>wskaźnika wstecz aż do 1999 r. Co ważne, jak się okazuje, korekta nie zmienia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głównych wniosków z naszych poprzednich publikacji – według obu metodologii okres historycznie największej produkcji prawa przypadł na lata 2013-2017</w:t>
                            </w:r>
                            <w:r w:rsidR="0024233F" w:rsidRPr="00C03998">
                              <w:rPr>
                                <w:sz w:val="16"/>
                                <w:lang w:val="pl-PL"/>
                              </w:rPr>
                              <w:t xml:space="preserve"> (a szczyt na 2016 r.)</w:t>
                            </w:r>
                            <w:r w:rsidRPr="00C03998">
                              <w:rPr>
                                <w:sz w:val="16"/>
                                <w:lang w:val="pl-PL"/>
                              </w:rPr>
                              <w:t xml:space="preserve"> i był</w:t>
                            </w:r>
                            <w:r w:rsidR="009C6D04" w:rsidRPr="00C03998">
                              <w:rPr>
                                <w:sz w:val="16"/>
                                <w:lang w:val="pl-PL"/>
                              </w:rPr>
                              <w:t xml:space="preserve">a ona wówczas wyższa nawet niż w latach dostosowywania się Polski do systemu prawnego Unii Europejskiej, natomiast w ostatnim okresie widać </w:t>
                            </w:r>
                            <w:r w:rsidR="005B4D54" w:rsidRPr="00C03998">
                              <w:rPr>
                                <w:sz w:val="16"/>
                                <w:lang w:val="pl-PL"/>
                              </w:rPr>
                              <w:t>wyhamowanie trendu przyrostu nowych</w:t>
                            </w:r>
                            <w:r w:rsidR="009C6D04" w:rsidRPr="00C03998">
                              <w:rPr>
                                <w:sz w:val="16"/>
                                <w:lang w:val="pl-PL"/>
                              </w:rPr>
                              <w:t xml:space="preserve"> przepisów prawa w Polsce.</w:t>
                            </w:r>
                            <w:r w:rsidR="009C6D04" w:rsidRPr="00C03998">
                              <w:rPr>
                                <w:noProof/>
                                <w:sz w:val="16"/>
                                <w:lang w:val="pl-PL" w:eastAsia="pl-PL"/>
                              </w:rPr>
                              <w:t xml:space="preserve"> </w:t>
                            </w:r>
                          </w:p>
                          <w:p w:rsidR="00D00C82" w:rsidRDefault="00D00C82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</w:pPr>
                          </w:p>
                          <w:p w:rsidR="00C03998" w:rsidRPr="00C03998" w:rsidRDefault="00C03998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</w:pPr>
                          </w:p>
                          <w:p w:rsidR="005B4D54" w:rsidRPr="00C03998" w:rsidRDefault="005B4D54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</w:pPr>
                            <w:r w:rsidRPr="00C03998">
                              <w:rPr>
                                <w:b/>
                                <w:noProof/>
                                <w:sz w:val="16"/>
                                <w:lang w:val="pl-PL" w:eastAsia="pl-PL"/>
                              </w:rPr>
                              <w:t>Wykres. Liczba stron nowych aktów prawnych w Polsce</w:t>
                            </w:r>
                          </w:p>
                          <w:p w:rsidR="005B4D54" w:rsidRPr="005B4D54" w:rsidRDefault="005B4D54" w:rsidP="00D00C82">
                            <w:pPr>
                              <w:spacing w:after="0" w:line="276" w:lineRule="auto"/>
                              <w:rPr>
                                <w:b/>
                                <w:noProof/>
                                <w:sz w:val="8"/>
                                <w:lang w:val="pl-PL" w:eastAsia="pl-PL"/>
                              </w:rPr>
                            </w:pPr>
                          </w:p>
                          <w:p w:rsidR="00D00C82" w:rsidRDefault="00012180" w:rsidP="00D00C82">
                            <w:pPr>
                              <w:spacing w:after="0" w:line="276" w:lineRule="auto"/>
                              <w:rPr>
                                <w:noProof/>
                                <w:lang w:val="pl-PL" w:eastAsia="pl-PL"/>
                              </w:rPr>
                            </w:pPr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4A247731" wp14:editId="5F88F447">
                                  <wp:extent cx="6010910" cy="2676525"/>
                                  <wp:effectExtent l="0" t="0" r="8890" b="9525"/>
                                  <wp:docPr id="11" name="Wykres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4666" w:rsidRDefault="00C84666" w:rsidP="009B52BD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C84666" w:rsidRDefault="00C84666" w:rsidP="009B52BD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9B52BD" w:rsidRPr="009B52BD" w:rsidRDefault="009B52BD" w:rsidP="009B52BD">
                            <w:pPr>
                              <w:rPr>
                                <w:lang w:val="pl-PL"/>
                              </w:rPr>
                            </w:pPr>
                            <w:r w:rsidRPr="009B52BD">
                              <w:rPr>
                                <w:noProof/>
                                <w:lang w:val="pl-PL" w:eastAsia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6pt;margin-top:0;width:485pt;height:6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" fillcolor="#d8d8d8 [2732]" stroked="f">
                <v:textbox>
                  <w:txbxContent>
                    <w:p w:rsidR="0024233F" w:rsidRDefault="0024233F" w:rsidP="00D00C82">
                      <w:pPr>
                        <w:spacing w:after="0" w:line="276" w:lineRule="auto"/>
                        <w:rPr>
                          <w:b/>
                          <w:color w:val="00A1B5"/>
                          <w:sz w:val="10"/>
                          <w:lang w:val="pl-PL"/>
                        </w:rPr>
                      </w:pPr>
                    </w:p>
                    <w:p w:rsidR="004B2BE4" w:rsidRPr="0024233F" w:rsidRDefault="004B2BE4" w:rsidP="00D00C82">
                      <w:pPr>
                        <w:spacing w:after="0" w:line="276" w:lineRule="auto"/>
                        <w:rPr>
                          <w:b/>
                          <w:color w:val="00A1B5"/>
                          <w:sz w:val="10"/>
                          <w:lang w:val="pl-PL"/>
                        </w:rPr>
                      </w:pPr>
                    </w:p>
                    <w:p w:rsidR="009B52BD" w:rsidRPr="009B52BD" w:rsidRDefault="009B52BD" w:rsidP="00D00C82">
                      <w:pPr>
                        <w:spacing w:after="0" w:line="276" w:lineRule="auto"/>
                        <w:rPr>
                          <w:b/>
                          <w:color w:val="4F2D7F"/>
                          <w:sz w:val="22"/>
                          <w:lang w:val="pl-PL"/>
                        </w:rPr>
                      </w:pPr>
                      <w:r w:rsidRPr="00DA5EB8">
                        <w:rPr>
                          <w:b/>
                          <w:color w:val="00A1B5"/>
                          <w:sz w:val="22"/>
                          <w:lang w:val="pl-PL"/>
                        </w:rPr>
                        <w:t xml:space="preserve">WAŻNE: </w:t>
                      </w:r>
                      <w:r w:rsidRPr="009B52BD">
                        <w:rPr>
                          <w:b/>
                          <w:color w:val="4F2D7F"/>
                          <w:sz w:val="22"/>
                          <w:lang w:val="pl-PL"/>
                        </w:rPr>
                        <w:t>Dostosowania w metodologii</w:t>
                      </w:r>
                    </w:p>
                    <w:p w:rsidR="009B52BD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4B2BE4" w:rsidRPr="00C03998" w:rsidRDefault="004B2BE4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>Po pięciu latach prowadzenia projektu zdecydowaliśmy się nieco doprecyzować metodologię obliczania wyników „Ba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rometru..”</w:t>
                      </w:r>
                      <w:r w:rsidRPr="00C03998">
                        <w:rPr>
                          <w:sz w:val="16"/>
                          <w:lang w:val="pl-PL"/>
                        </w:rPr>
                        <w:t>. Zwiększają one porównywalność wyników między poszczególnymi okresami, a także je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 xml:space="preserve"> – w naszej ocenie –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obiektywizują.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9B52BD" w:rsidRPr="00C03998" w:rsidRDefault="00F17F9C" w:rsidP="00D00C82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  <w:r>
                        <w:rPr>
                          <w:b/>
                          <w:color w:val="4F2D7F"/>
                          <w:sz w:val="16"/>
                          <w:lang w:val="pl-PL"/>
                        </w:rPr>
                        <w:t>Teksty jednolite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>Kiedy rozpoczynaliśmy pracę nad Barometrem publikowanie w Dzienniku Ustaw tekstów jednolitych ustaw i rozporządzeń było rzadkością (stanowiły one 2-5 proc. aktów prawnych), więc nie wpływały one istotnie na wyniki Batometru. W ostatnich latach skala publikowania tekstów jednolitych jednak silnie wzrosła i w coraz większym stopniu wpływa na kształt obliczeń, dlatego oczyściliśmy nasz wskaźnik ze wszystkich tekstów jednolitych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 xml:space="preserve"> wstecz ze wszystkich lat od 1999 r. do teraz</w:t>
                      </w:r>
                      <w:r w:rsidRPr="00C03998">
                        <w:rPr>
                          <w:sz w:val="16"/>
                          <w:lang w:val="pl-PL"/>
                        </w:rPr>
                        <w:t>.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</w:p>
                    <w:p w:rsidR="009B52BD" w:rsidRPr="00C03998" w:rsidRDefault="009B52BD" w:rsidP="00D00C82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  <w:r w:rsidRPr="00C03998">
                        <w:rPr>
                          <w:b/>
                          <w:color w:val="4F2D7F"/>
                          <w:sz w:val="16"/>
                          <w:lang w:val="pl-PL"/>
                        </w:rPr>
                        <w:t>Umowy międzynarodowe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 xml:space="preserve">Dotąd jako ustawy najwyższego rzędu klasyfikowaliśmy ustawy i rozporządzenia, natomiast – zgodnie z </w:t>
                      </w:r>
                      <w:r w:rsidR="0038021A">
                        <w:rPr>
                          <w:sz w:val="16"/>
                          <w:lang w:val="pl-PL"/>
                        </w:rPr>
                        <w:t>najczęściej spotykaną klasyfikacją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aktów prawnych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, do grona tego powinny być wliczane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również umowy międzynarod</w:t>
                      </w:r>
                      <w:r w:rsidR="000262E7">
                        <w:rPr>
                          <w:sz w:val="16"/>
                          <w:lang w:val="pl-PL"/>
                        </w:rPr>
                        <w:t xml:space="preserve">owe, a więc np. umowy między Polską a innym krajem o unikaniu opodatkowania albo o </w:t>
                      </w:r>
                      <w:r w:rsidR="0038021A">
                        <w:rPr>
                          <w:sz w:val="16"/>
                          <w:lang w:val="pl-PL"/>
                        </w:rPr>
                        <w:t>wolnym handlu.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38021A">
                        <w:rPr>
                          <w:sz w:val="16"/>
                          <w:lang w:val="pl-PL"/>
                        </w:rPr>
                        <w:t>Mają one nie tylko w</w:t>
                      </w:r>
                      <w:r w:rsidR="00F17F9C">
                        <w:rPr>
                          <w:sz w:val="16"/>
                          <w:lang w:val="pl-PL"/>
                        </w:rPr>
                        <w:t>ysoką wagę polityczną i rangę w </w:t>
                      </w:r>
                      <w:r w:rsidR="0038021A">
                        <w:rPr>
                          <w:sz w:val="16"/>
                          <w:lang w:val="pl-PL"/>
                        </w:rPr>
                        <w:t>hierarchii aktów prawnych, ale też często silnie wpływają na działalność przedsiębiorstw, zwłaszcza handel</w:t>
                      </w:r>
                      <w:r w:rsidR="00F17F9C">
                        <w:rPr>
                          <w:sz w:val="16"/>
                          <w:lang w:val="pl-PL"/>
                        </w:rPr>
                        <w:t xml:space="preserve"> zagraniczny i </w:t>
                      </w:r>
                      <w:r w:rsidR="0038021A">
                        <w:rPr>
                          <w:sz w:val="16"/>
                          <w:lang w:val="pl-PL"/>
                        </w:rPr>
                        <w:t>ekspansję zagraniczną. D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latego postanowiliśmy je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uwzględniać w naszych obliczeniach.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</w:p>
                    <w:p w:rsidR="009B52BD" w:rsidRPr="00C03998" w:rsidRDefault="009B52BD" w:rsidP="00D00C82">
                      <w:pPr>
                        <w:pStyle w:val="Akapitzlist"/>
                        <w:numPr>
                          <w:ilvl w:val="0"/>
                          <w:numId w:val="35"/>
                        </w:numPr>
                        <w:spacing w:after="0" w:line="276" w:lineRule="auto"/>
                        <w:rPr>
                          <w:b/>
                          <w:color w:val="4F2D7F"/>
                          <w:sz w:val="16"/>
                          <w:lang w:val="pl-PL"/>
                        </w:rPr>
                      </w:pPr>
                      <w:r w:rsidRPr="00C03998">
                        <w:rPr>
                          <w:b/>
                          <w:color w:val="4F2D7F"/>
                          <w:sz w:val="16"/>
                          <w:lang w:val="pl-PL"/>
                        </w:rPr>
                        <w:t>Duże załączniki</w:t>
                      </w:r>
                    </w:p>
                    <w:p w:rsidR="009B52BD" w:rsidRPr="00C03998" w:rsidRDefault="009B52BD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>D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otychczas w wynikach „Barometru…”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nie braliśmy pod uwagę dużych załączni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ków do aktów prawnych w postaci</w:t>
                      </w:r>
                      <w:r w:rsidR="001D5E0E" w:rsidRPr="00C03998">
                        <w:rPr>
                          <w:sz w:val="16"/>
                          <w:lang w:val="pl-PL"/>
                        </w:rPr>
                        <w:t xml:space="preserve"> np. liczących kilkaset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stron zestawień tabelarycznych. Było to jednak subiektywne kryterium, co rodziło spory interpretacyjne na temat tego, które zestawienia powinny być brane pod uwagę, a które nie. </w:t>
                      </w:r>
                      <w:r w:rsidR="006C2380" w:rsidRPr="00C03998">
                        <w:rPr>
                          <w:sz w:val="16"/>
                          <w:lang w:val="pl-PL"/>
                        </w:rPr>
                        <w:t xml:space="preserve">Na przykład niektóre duże objętościowo tabele są z punktu widzenia działalności gospodarczej dużo istotniejsze niż część tekstowa (np. matryca VAT). </w:t>
                      </w:r>
                      <w:r w:rsidRPr="00C03998">
                        <w:rPr>
                          <w:sz w:val="16"/>
                          <w:lang w:val="pl-PL"/>
                        </w:rPr>
                        <w:t>Dlatego – aby zwiększyć obiektywizm obserwacji – zdecydowaliśmy się uwzględniać akty prawne w całości, łącznie niezależnie od ich wagi merytorycznej, istotności treści dla odbiorców czy układu graficznego.</w:t>
                      </w:r>
                      <w:r w:rsidR="001D5E0E" w:rsidRPr="00C03998">
                        <w:rPr>
                          <w:sz w:val="16"/>
                          <w:lang w:val="pl-PL"/>
                        </w:rPr>
                        <w:t xml:space="preserve"> Jako wyjątek uznajemy jedynie</w:t>
                      </w:r>
                      <w:r w:rsidR="006C2380" w:rsidRPr="00C03998"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="001D5E0E" w:rsidRPr="00C03998">
                        <w:rPr>
                          <w:sz w:val="16"/>
                          <w:lang w:val="pl-PL"/>
                        </w:rPr>
                        <w:t>tabele o objętości powyżej 5 tys. stron</w:t>
                      </w:r>
                      <w:r w:rsidR="00C03998" w:rsidRPr="00C03998">
                        <w:rPr>
                          <w:sz w:val="16"/>
                          <w:lang w:val="pl-PL"/>
                        </w:rPr>
                        <w:t>, pojawiające się niezwykle rzadko (jeden taki przypadek w ciągu 10 lat), a silnie zaburzające wyniki roczne.</w:t>
                      </w:r>
                    </w:p>
                    <w:p w:rsidR="00C84666" w:rsidRPr="00C03998" w:rsidRDefault="00C84666" w:rsidP="00D00C82">
                      <w:pPr>
                        <w:spacing w:after="0" w:line="276" w:lineRule="auto"/>
                        <w:rPr>
                          <w:sz w:val="16"/>
                          <w:lang w:val="pl-PL"/>
                        </w:rPr>
                      </w:pPr>
                    </w:p>
                    <w:p w:rsidR="009C6D04" w:rsidRPr="00C03998" w:rsidRDefault="00C84666" w:rsidP="00D00C82">
                      <w:pPr>
                        <w:spacing w:after="0" w:line="276" w:lineRule="auto"/>
                        <w:rPr>
                          <w:noProof/>
                          <w:sz w:val="16"/>
                          <w:lang w:val="pl-PL" w:eastAsia="pl-PL"/>
                        </w:rPr>
                      </w:pPr>
                      <w:r w:rsidRPr="00C03998">
                        <w:rPr>
                          <w:sz w:val="16"/>
                          <w:lang w:val="pl-PL"/>
                        </w:rPr>
                        <w:t xml:space="preserve">Powyższe zmiany wprowadziliśmy dla naszego 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>wskaźnika wstecz aż do 1999 r. Co ważne, jak się okazuje, korekta nie zmienia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głównych wniosków z naszych poprzednich publikacji – według obu metodologii okres historycznie największej produkcji prawa przypadł na lata 2013-2017</w:t>
                      </w:r>
                      <w:r w:rsidR="0024233F" w:rsidRPr="00C03998">
                        <w:rPr>
                          <w:sz w:val="16"/>
                          <w:lang w:val="pl-PL"/>
                        </w:rPr>
                        <w:t xml:space="preserve"> (a szczyt na 2016 r.)</w:t>
                      </w:r>
                      <w:r w:rsidRPr="00C03998">
                        <w:rPr>
                          <w:sz w:val="16"/>
                          <w:lang w:val="pl-PL"/>
                        </w:rPr>
                        <w:t xml:space="preserve"> i był</w:t>
                      </w:r>
                      <w:r w:rsidR="009C6D04" w:rsidRPr="00C03998">
                        <w:rPr>
                          <w:sz w:val="16"/>
                          <w:lang w:val="pl-PL"/>
                        </w:rPr>
                        <w:t xml:space="preserve">a ona wówczas wyższa nawet niż w latach dostosowywania się Polski do systemu prawnego Unii Europejskiej, natomiast w ostatnim okresie widać </w:t>
                      </w:r>
                      <w:r w:rsidR="005B4D54" w:rsidRPr="00C03998">
                        <w:rPr>
                          <w:sz w:val="16"/>
                          <w:lang w:val="pl-PL"/>
                        </w:rPr>
                        <w:t>wyhamowanie trendu przyrostu nowych</w:t>
                      </w:r>
                      <w:r w:rsidR="009C6D04" w:rsidRPr="00C03998">
                        <w:rPr>
                          <w:sz w:val="16"/>
                          <w:lang w:val="pl-PL"/>
                        </w:rPr>
                        <w:t xml:space="preserve"> przepisów prawa w Polsce.</w:t>
                      </w:r>
                      <w:r w:rsidR="009C6D04" w:rsidRPr="00C03998">
                        <w:rPr>
                          <w:noProof/>
                          <w:sz w:val="16"/>
                          <w:lang w:val="pl-PL" w:eastAsia="pl-PL"/>
                        </w:rPr>
                        <w:t xml:space="preserve"> </w:t>
                      </w:r>
                    </w:p>
                    <w:p w:rsidR="00D00C82" w:rsidRDefault="00D00C82" w:rsidP="00D00C82">
                      <w:pPr>
                        <w:spacing w:after="0" w:line="276" w:lineRule="auto"/>
                        <w:rPr>
                          <w:b/>
                          <w:noProof/>
                          <w:sz w:val="16"/>
                          <w:lang w:val="pl-PL" w:eastAsia="pl-PL"/>
                        </w:rPr>
                      </w:pPr>
                    </w:p>
                    <w:p w:rsidR="00C03998" w:rsidRPr="00C03998" w:rsidRDefault="00C03998" w:rsidP="00D00C82">
                      <w:pPr>
                        <w:spacing w:after="0" w:line="276" w:lineRule="auto"/>
                        <w:rPr>
                          <w:b/>
                          <w:noProof/>
                          <w:sz w:val="16"/>
                          <w:lang w:val="pl-PL" w:eastAsia="pl-PL"/>
                        </w:rPr>
                      </w:pPr>
                    </w:p>
                    <w:p w:rsidR="005B4D54" w:rsidRPr="00C03998" w:rsidRDefault="005B4D54" w:rsidP="00D00C82">
                      <w:pPr>
                        <w:spacing w:after="0" w:line="276" w:lineRule="auto"/>
                        <w:rPr>
                          <w:b/>
                          <w:noProof/>
                          <w:sz w:val="16"/>
                          <w:lang w:val="pl-PL" w:eastAsia="pl-PL"/>
                        </w:rPr>
                      </w:pPr>
                      <w:r w:rsidRPr="00C03998">
                        <w:rPr>
                          <w:b/>
                          <w:noProof/>
                          <w:sz w:val="16"/>
                          <w:lang w:val="pl-PL" w:eastAsia="pl-PL"/>
                        </w:rPr>
                        <w:t>Wykres. Liczba stron nowych aktów prawnych w Polsce</w:t>
                      </w:r>
                    </w:p>
                    <w:p w:rsidR="005B4D54" w:rsidRPr="005B4D54" w:rsidRDefault="005B4D54" w:rsidP="00D00C82">
                      <w:pPr>
                        <w:spacing w:after="0" w:line="276" w:lineRule="auto"/>
                        <w:rPr>
                          <w:b/>
                          <w:noProof/>
                          <w:sz w:val="8"/>
                          <w:lang w:val="pl-PL" w:eastAsia="pl-PL"/>
                        </w:rPr>
                      </w:pPr>
                    </w:p>
                    <w:p w:rsidR="00D00C82" w:rsidRDefault="00012180" w:rsidP="00D00C82">
                      <w:pPr>
                        <w:spacing w:after="0" w:line="276" w:lineRule="auto"/>
                        <w:rPr>
                          <w:noProof/>
                          <w:lang w:val="pl-PL" w:eastAsia="pl-PL"/>
                        </w:rPr>
                      </w:pPr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4A247731" wp14:editId="5F88F447">
                            <wp:extent cx="6010910" cy="2676525"/>
                            <wp:effectExtent l="0" t="0" r="8890" b="9525"/>
                            <wp:docPr id="11" name="Wykres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C84666" w:rsidRDefault="00C84666" w:rsidP="009B52BD">
                      <w:pPr>
                        <w:rPr>
                          <w:lang w:val="pl-PL"/>
                        </w:rPr>
                      </w:pPr>
                    </w:p>
                    <w:p w:rsidR="00C84666" w:rsidRDefault="00C84666" w:rsidP="009B52BD">
                      <w:pPr>
                        <w:rPr>
                          <w:lang w:val="pl-PL"/>
                        </w:rPr>
                      </w:pPr>
                    </w:p>
                    <w:p w:rsidR="009B52BD" w:rsidRPr="009B52BD" w:rsidRDefault="009B52BD" w:rsidP="009B52BD">
                      <w:pPr>
                        <w:rPr>
                          <w:lang w:val="pl-PL"/>
                        </w:rPr>
                      </w:pPr>
                      <w:r w:rsidRPr="009B52BD">
                        <w:rPr>
                          <w:noProof/>
                          <w:lang w:val="pl-PL" w:eastAsia="pl-P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47B" w:rsidRDefault="0087247B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87247B" w:rsidRDefault="0087247B" w:rsidP="00D8712F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D86758" w:rsidRPr="0048296D" w:rsidRDefault="00D86758" w:rsidP="00D86758">
      <w:pPr>
        <w:pStyle w:val="Tekstpodstawowy"/>
        <w:spacing w:after="0" w:line="360" w:lineRule="auto"/>
        <w:rPr>
          <w:rFonts w:eastAsia="Calibri" w:cstheme="minorHAnsi"/>
          <w:sz w:val="20"/>
          <w:lang w:val="pl-PL"/>
        </w:rPr>
      </w:pPr>
    </w:p>
    <w:p w:rsidR="00B87565" w:rsidRPr="000C4938" w:rsidRDefault="00AE0450" w:rsidP="00B87565">
      <w:pPr>
        <w:pStyle w:val="Nagwek2"/>
        <w:rPr>
          <w:lang w:val="pl-PL"/>
        </w:rPr>
      </w:pPr>
      <w:r w:rsidRPr="000C4938">
        <w:rPr>
          <w:lang w:val="pl-PL"/>
        </w:rPr>
        <w:t>Zachęcamy do kontaktu</w:t>
      </w:r>
      <w:r w:rsidR="00B87565" w:rsidRPr="000C4938">
        <w:rPr>
          <w:lang w:val="pl-PL"/>
        </w:rPr>
        <w:t>:</w:t>
      </w:r>
    </w:p>
    <w:p w:rsidR="00B87565" w:rsidRPr="000C4938" w:rsidRDefault="00AE0450" w:rsidP="00B87565">
      <w:pPr>
        <w:rPr>
          <w:b/>
          <w:lang w:val="pl-PL"/>
        </w:rPr>
      </w:pPr>
      <w:r w:rsidRPr="000C4938">
        <w:rPr>
          <w:b/>
          <w:lang w:val="pl-PL"/>
        </w:rPr>
        <w:t>Jacek Kowalczyk</w:t>
      </w:r>
    </w:p>
    <w:p w:rsidR="00043B07" w:rsidRPr="008556C4" w:rsidRDefault="00043B07" w:rsidP="00B87565">
      <w:pPr>
        <w:rPr>
          <w:lang w:val="pl-PL"/>
        </w:rPr>
      </w:pPr>
      <w:r w:rsidRPr="008556C4">
        <w:rPr>
          <w:lang w:val="pl-PL"/>
        </w:rPr>
        <w:t>Dyrektor Marketingu i PR</w:t>
      </w:r>
    </w:p>
    <w:p w:rsidR="00AE0450" w:rsidRPr="008556C4" w:rsidRDefault="00AE0450" w:rsidP="00B87565">
      <w:pPr>
        <w:rPr>
          <w:lang w:val="pl-PL"/>
        </w:rPr>
      </w:pPr>
      <w:r w:rsidRPr="008556C4">
        <w:rPr>
          <w:lang w:val="pl-PL"/>
        </w:rPr>
        <w:t>Grant Thornton</w:t>
      </w:r>
    </w:p>
    <w:p w:rsidR="00B87565" w:rsidRPr="008556C4" w:rsidRDefault="00B87565" w:rsidP="00B87565">
      <w:pPr>
        <w:rPr>
          <w:b/>
          <w:lang w:val="pl-PL"/>
        </w:rPr>
      </w:pPr>
      <w:r w:rsidRPr="008556C4">
        <w:rPr>
          <w:b/>
          <w:lang w:val="pl-PL"/>
        </w:rPr>
        <w:t>T</w:t>
      </w:r>
      <w:r w:rsidR="00AE0450" w:rsidRPr="008556C4">
        <w:rPr>
          <w:b/>
          <w:lang w:val="pl-PL"/>
        </w:rPr>
        <w:t>:</w:t>
      </w:r>
      <w:r w:rsidRPr="008556C4">
        <w:rPr>
          <w:b/>
          <w:lang w:val="pl-PL"/>
        </w:rPr>
        <w:t xml:space="preserve"> </w:t>
      </w:r>
      <w:r w:rsidR="00AE0450" w:rsidRPr="008556C4">
        <w:rPr>
          <w:lang w:val="pl-PL"/>
        </w:rPr>
        <w:t>505 024 168, 22 205 48 41</w:t>
      </w:r>
    </w:p>
    <w:p w:rsidR="00AE0450" w:rsidRPr="008556C4" w:rsidRDefault="00AE0450" w:rsidP="00B55FA2">
      <w:pPr>
        <w:rPr>
          <w:b/>
          <w:lang w:val="pl-PL"/>
        </w:rPr>
      </w:pPr>
      <w:r w:rsidRPr="008556C4">
        <w:rPr>
          <w:b/>
          <w:lang w:val="pl-PL"/>
        </w:rPr>
        <w:t xml:space="preserve">E: </w:t>
      </w:r>
      <w:r w:rsidRPr="008556C4">
        <w:rPr>
          <w:lang w:val="pl-PL"/>
        </w:rPr>
        <w:t>jacek.kowalczyk@pl.gt.com</w:t>
      </w:r>
    </w:p>
    <w:p w:rsidR="00AE0450" w:rsidRPr="008556C4" w:rsidRDefault="00AE0450" w:rsidP="00B87565">
      <w:pPr>
        <w:pStyle w:val="Nagwek3"/>
        <w:rPr>
          <w:lang w:val="pl-PL"/>
        </w:rPr>
      </w:pPr>
    </w:p>
    <w:p w:rsidR="00B87565" w:rsidRPr="008556C4" w:rsidRDefault="000C4938" w:rsidP="00B87565">
      <w:pPr>
        <w:pStyle w:val="Nagwek4"/>
        <w:rPr>
          <w:b/>
          <w:lang w:val="pl-PL"/>
        </w:rPr>
      </w:pPr>
      <w:r w:rsidRPr="008556C4">
        <w:rPr>
          <w:b/>
          <w:lang w:val="pl-PL"/>
        </w:rPr>
        <w:t>O</w:t>
      </w:r>
      <w:r w:rsidR="00844810" w:rsidRPr="008556C4">
        <w:rPr>
          <w:b/>
          <w:lang w:val="pl-PL"/>
        </w:rPr>
        <w:t xml:space="preserve"> Grant Thornton</w:t>
      </w:r>
    </w:p>
    <w:p w:rsidR="000C4938" w:rsidRPr="000C4938" w:rsidRDefault="000C4938" w:rsidP="000C4938">
      <w:pPr>
        <w:pStyle w:val="Tekstpodstawowy"/>
        <w:rPr>
          <w:lang w:val="pl-PL"/>
        </w:rPr>
      </w:pPr>
      <w:r w:rsidRPr="000C4938">
        <w:rPr>
          <w:b/>
          <w:lang w:val="pl-PL"/>
        </w:rPr>
        <w:t>Grant Thornton</w:t>
      </w:r>
      <w:r w:rsidRPr="000C4938">
        <w:rPr>
          <w:lang w:val="pl-PL"/>
        </w:rPr>
        <w:t xml:space="preserve"> to jedna z wiodących organizacji audytorsko-doradczych na świecie. Wiedza, doświadczenie i zaangażowanie ponad 3 000 partnerów oraz 42 000 pracowników Grant Thornton dostępne są dla klientów w ponad 130 </w:t>
      </w:r>
      <w:r w:rsidR="0071541C">
        <w:rPr>
          <w:lang w:val="pl-PL"/>
        </w:rPr>
        <w:t>krajach. W Polsce działamy od 25 lat, a 550</w:t>
      </w:r>
      <w:r w:rsidRPr="000C4938">
        <w:rPr>
          <w:lang w:val="pl-PL"/>
        </w:rPr>
        <w:t xml:space="preserve"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1" w:history="1">
        <w:r w:rsidRPr="000C4938">
          <w:rPr>
            <w:rStyle w:val="Hipercze"/>
            <w:lang w:val="pl-PL"/>
          </w:rPr>
          <w:t>www.grantthornton.pl</w:t>
        </w:r>
      </w:hyperlink>
      <w:r w:rsidRPr="000C4938">
        <w:rPr>
          <w:lang w:val="pl-PL"/>
        </w:rPr>
        <w:t xml:space="preserve"> </w:t>
      </w:r>
    </w:p>
    <w:p w:rsidR="000C4938" w:rsidRPr="000C4938" w:rsidRDefault="000C4938" w:rsidP="000C4938">
      <w:pPr>
        <w:pStyle w:val="Tekstpodstawowy"/>
        <w:rPr>
          <w:u w:val="single"/>
          <w:lang w:val="pl-PL"/>
        </w:rPr>
      </w:pPr>
      <w:r w:rsidRPr="000C4938">
        <w:rPr>
          <w:b/>
          <w:lang w:val="pl-PL"/>
        </w:rPr>
        <w:t>Grant Thornton International Ltd</w:t>
      </w:r>
      <w:r w:rsidRPr="000C4938">
        <w:rPr>
          <w:lang w:val="pl-PL"/>
        </w:rPr>
        <w:t xml:space="preserve">. (GTI) jest jedną z wiodących światowych organizacji, zrzeszającą firmy księgowe i doradcze, oferujące usługi poświadczające, doradztwa podatkowego, a także udzielające specjalistycznych porad dla przedsiębiorców prywatnych i jednostek interesu publicznego. Więcej informacji na </w:t>
      </w:r>
      <w:hyperlink r:id="rId12" w:history="1">
        <w:r w:rsidRPr="000C4938">
          <w:rPr>
            <w:rStyle w:val="Hipercze"/>
            <w:lang w:val="pl-PL"/>
          </w:rPr>
          <w:t>www.gti.org</w:t>
        </w:r>
      </w:hyperlink>
    </w:p>
    <w:p w:rsidR="00C0271B" w:rsidRPr="00746775" w:rsidRDefault="00C0271B" w:rsidP="00302988">
      <w:pPr>
        <w:pStyle w:val="Tekstpodstawowy"/>
      </w:pPr>
    </w:p>
    <w:sectPr w:rsidR="00C0271B" w:rsidRPr="00746775" w:rsidSect="000C493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36" w:right="913" w:bottom="913" w:left="913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D9" w:rsidRDefault="003A55D9">
      <w:r>
        <w:separator/>
      </w:r>
    </w:p>
  </w:endnote>
  <w:endnote w:type="continuationSeparator" w:id="0">
    <w:p w:rsidR="003A55D9" w:rsidRDefault="003A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A211E0" w:rsidRDefault="00A211E0" w:rsidP="00695784">
    <w:pPr>
      <w:pStyle w:val="Stopka"/>
      <w:tabs>
        <w:tab w:val="clear" w:pos="8636"/>
        <w:tab w:val="right" w:pos="10415"/>
      </w:tabs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0806B4" w:rsidRPr="00D01381">
      <w:rPr>
        <w:rStyle w:val="Numerstrony"/>
      </w:rPr>
      <w:fldChar w:fldCharType="begin"/>
    </w:r>
    <w:r w:rsidR="000806B4" w:rsidRPr="00D01381">
      <w:rPr>
        <w:rStyle w:val="Numerstrony"/>
      </w:rPr>
      <w:instrText xml:space="preserve"> PAGE   \* MERGEFORMAT </w:instrText>
    </w:r>
    <w:r w:rsidR="000806B4" w:rsidRPr="00D01381">
      <w:rPr>
        <w:rStyle w:val="Numerstrony"/>
      </w:rPr>
      <w:fldChar w:fldCharType="separate"/>
    </w:r>
    <w:r w:rsidR="004B2BE4">
      <w:rPr>
        <w:rStyle w:val="Numerstrony"/>
        <w:noProof/>
      </w:rPr>
      <w:t>4</w:t>
    </w:r>
    <w:r w:rsidR="000806B4" w:rsidRPr="00D01381">
      <w:rPr>
        <w:rStyle w:val="Numerstrony"/>
      </w:rPr>
      <w:fldChar w:fldCharType="end"/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6533EA" wp14:editId="7B855692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93DF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B4" w:rsidRPr="00695784" w:rsidRDefault="00695784" w:rsidP="00695784">
    <w:pPr>
      <w:pStyle w:val="Stopka"/>
      <w:rPr>
        <w:rFonts w:ascii="Arial" w:hAnsi="Arial"/>
        <w:sz w:val="13"/>
      </w:rPr>
    </w:pPr>
    <w:r>
      <w:t xml:space="preserve">© </w:t>
    </w:r>
    <w:r>
      <w:fldChar w:fldCharType="begin"/>
    </w:r>
    <w:r>
      <w:instrText xml:space="preserve"> createdate \@"yyyy" </w:instrText>
    </w:r>
    <w:r>
      <w:fldChar w:fldCharType="separate"/>
    </w:r>
    <w:r w:rsidR="007F3C0B">
      <w:rPr>
        <w:noProof/>
      </w:rPr>
      <w:t>2017</w:t>
    </w:r>
    <w:r>
      <w:fldChar w:fldCharType="end"/>
    </w:r>
    <w:r w:rsidR="00E14F28">
      <w:t xml:space="preserve"> </w:t>
    </w:r>
    <w:r w:rsidR="00E14F28" w:rsidRPr="00E14F28">
      <w:t>Grant Thornton International Ltd.</w:t>
    </w:r>
    <w:r>
      <w:t xml:space="preserve">  All rights reserved.</w:t>
    </w:r>
    <w:r w:rsidR="00D01381" w:rsidRPr="00D01381">
      <w:rPr>
        <w:noProof/>
        <w:lang w:eastAsia="en-GB"/>
      </w:rPr>
      <w:t xml:space="preserve"> </w:t>
    </w:r>
    <w:r w:rsidR="00D0138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D04B6E" wp14:editId="7CEA7554">
              <wp:simplePos x="0" y="0"/>
              <wp:positionH relativeFrom="margin">
                <wp:align>right</wp:align>
              </wp:positionH>
              <wp:positionV relativeFrom="paragraph">
                <wp:posOffset>-71755</wp:posOffset>
              </wp:positionV>
              <wp:extent cx="1508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08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2FAB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7.55pt,-5.65pt" to="186.3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" strokecolor="#4f2d7f [3204]" strokeweight="1.5pt">
              <w10:wrap anchorx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D9" w:rsidRDefault="003A55D9">
      <w:bookmarkStart w:id="0" w:name="_Hlk482343305"/>
      <w:bookmarkEnd w:id="0"/>
      <w:r>
        <w:separator/>
      </w:r>
    </w:p>
  </w:footnote>
  <w:footnote w:type="continuationSeparator" w:id="0">
    <w:p w:rsidR="003A55D9" w:rsidRDefault="003A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142F32" w:rsidP="000806B4">
    <w:pPr>
      <w:pStyle w:val="Nagwek"/>
      <w:tabs>
        <w:tab w:val="clear" w:pos="8562"/>
        <w:tab w:val="right" w:pos="10348"/>
      </w:tabs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114300</wp:posOffset>
          </wp:positionV>
          <wp:extent cx="2040890" cy="10414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omet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285750</wp:posOffset>
          </wp:positionV>
          <wp:extent cx="2035810" cy="627380"/>
          <wp:effectExtent l="0" t="0" r="2540" b="127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953135"/>
              <wp:effectExtent l="0" t="0" r="17780" b="1841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E0" w:firstRow="1" w:lastRow="1" w:firstColumn="1" w:lastColumn="0" w:noHBand="0" w:noVBand="1"/>
                          </w:tblPr>
                          <w:tblGrid>
                            <w:gridCol w:w="6117"/>
                          </w:tblGrid>
                          <w:tr w:rsidR="002A346F" w:rsidTr="00AE0450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1D0268" w:rsidP="004F5624">
                                <w:pPr>
                                  <w:spacing w:before="38"/>
                                  <w:ind w:left="43"/>
                                </w:pPr>
                                <w:bookmarkStart w:id="2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>
                                      <wp:extent cx="2036068" cy="627889"/>
                                      <wp:effectExtent l="0" t="0" r="2540" b="1270"/>
                                      <wp:docPr id="6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2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8pt;margin-top:9.9pt;width:306.1pt;height:7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E0" w:firstRow="1" w:lastRow="1" w:firstColumn="1" w:lastColumn="0" w:noHBand="0" w:noVBand="1"/>
                    </w:tblPr>
                    <w:tblGrid>
                      <w:gridCol w:w="6117"/>
                    </w:tblGrid>
                    <w:tr w:rsidR="002A346F" w:rsidTr="00AE0450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1D0268" w:rsidP="004F5624">
                          <w:pPr>
                            <w:spacing w:before="38"/>
                            <w:ind w:left="43"/>
                          </w:pPr>
                          <w:bookmarkStart w:id="3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36068" cy="627889"/>
                                <wp:effectExtent l="0" t="0" r="2540" b="1270"/>
                                <wp:docPr id="6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</w:p>
  <w:p w:rsidR="002A346F" w:rsidRPr="009D3931" w:rsidRDefault="002A346F" w:rsidP="002A346F">
    <w:pPr>
      <w:pStyle w:val="Nagwek"/>
    </w:pP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2E80541"/>
    <w:multiLevelType w:val="hybridMultilevel"/>
    <w:tmpl w:val="0C04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235B21F8"/>
    <w:multiLevelType w:val="multilevel"/>
    <w:tmpl w:val="FAE6F968"/>
    <w:numStyleLink w:val="GTListBullet"/>
  </w:abstractNum>
  <w:abstractNum w:abstractNumId="11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5C91C25"/>
    <w:multiLevelType w:val="multilevel"/>
    <w:tmpl w:val="98FC98AC"/>
    <w:numStyleLink w:val="GTListNumber"/>
  </w:abstractNum>
  <w:abstractNum w:abstractNumId="13" w15:restartNumberingAfterBreak="0">
    <w:nsid w:val="3BA976CF"/>
    <w:multiLevelType w:val="multilevel"/>
    <w:tmpl w:val="98FC98AC"/>
    <w:numStyleLink w:val="GTListNumber"/>
  </w:abstractNum>
  <w:abstractNum w:abstractNumId="14" w15:restartNumberingAfterBreak="0">
    <w:nsid w:val="4CCA2BD4"/>
    <w:multiLevelType w:val="hybridMultilevel"/>
    <w:tmpl w:val="EC38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5DDB5E6E"/>
    <w:multiLevelType w:val="multilevel"/>
    <w:tmpl w:val="FAE6F968"/>
    <w:numStyleLink w:val="GTListBullet"/>
  </w:abstractNum>
  <w:abstractNum w:abstractNumId="17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8" w15:restartNumberingAfterBreak="0">
    <w:nsid w:val="7F924C95"/>
    <w:multiLevelType w:val="multilevel"/>
    <w:tmpl w:val="0D561ACA"/>
    <w:numStyleLink w:val="GTNumberedHeadings"/>
  </w:abstractNum>
  <w:num w:numId="1">
    <w:abstractNumId w:val="7"/>
  </w:num>
  <w:num w:numId="2">
    <w:abstractNumId w:val="5"/>
  </w:num>
  <w:num w:numId="3">
    <w:abstractNumId w:val="11"/>
  </w:num>
  <w:num w:numId="4">
    <w:abstractNumId w:val="1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5"/>
  </w:num>
  <w:num w:numId="12">
    <w:abstractNumId w:val="4"/>
  </w:num>
  <w:num w:numId="13">
    <w:abstractNumId w:val="9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7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9"/>
  </w:num>
  <w:num w:numId="27">
    <w:abstractNumId w:val="9"/>
  </w:num>
  <w:num w:numId="28">
    <w:abstractNumId w:val="16"/>
  </w:num>
  <w:num w:numId="29">
    <w:abstractNumId w:val="16"/>
  </w:num>
  <w:num w:numId="30">
    <w:abstractNumId w:val="16"/>
  </w:num>
  <w:num w:numId="31">
    <w:abstractNumId w:val="13"/>
  </w:num>
  <w:num w:numId="32">
    <w:abstractNumId w:val="13"/>
  </w:num>
  <w:num w:numId="33">
    <w:abstractNumId w:val="13"/>
  </w:num>
  <w:num w:numId="34">
    <w:abstractNumId w:val="6"/>
  </w:num>
  <w:num w:numId="35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7F3C0B"/>
    <w:rsid w:val="00012180"/>
    <w:rsid w:val="000262E7"/>
    <w:rsid w:val="00043B07"/>
    <w:rsid w:val="00043CEE"/>
    <w:rsid w:val="000701DD"/>
    <w:rsid w:val="00070700"/>
    <w:rsid w:val="00075731"/>
    <w:rsid w:val="000806B4"/>
    <w:rsid w:val="00080BC4"/>
    <w:rsid w:val="00094191"/>
    <w:rsid w:val="000A4BAF"/>
    <w:rsid w:val="000A68FB"/>
    <w:rsid w:val="000B057D"/>
    <w:rsid w:val="000B0ED9"/>
    <w:rsid w:val="000B475C"/>
    <w:rsid w:val="000C0104"/>
    <w:rsid w:val="000C1BD5"/>
    <w:rsid w:val="000C4938"/>
    <w:rsid w:val="000D06D5"/>
    <w:rsid w:val="000D16D9"/>
    <w:rsid w:val="000D618C"/>
    <w:rsid w:val="000E05DA"/>
    <w:rsid w:val="000E7B26"/>
    <w:rsid w:val="000F4735"/>
    <w:rsid w:val="00111187"/>
    <w:rsid w:val="00113F29"/>
    <w:rsid w:val="001237E5"/>
    <w:rsid w:val="00125D84"/>
    <w:rsid w:val="001260ED"/>
    <w:rsid w:val="00136673"/>
    <w:rsid w:val="00142F32"/>
    <w:rsid w:val="00147730"/>
    <w:rsid w:val="00150A84"/>
    <w:rsid w:val="00157D72"/>
    <w:rsid w:val="001611CC"/>
    <w:rsid w:val="00170523"/>
    <w:rsid w:val="001878B4"/>
    <w:rsid w:val="001A359E"/>
    <w:rsid w:val="001A6EA7"/>
    <w:rsid w:val="001B3754"/>
    <w:rsid w:val="001B475A"/>
    <w:rsid w:val="001B565D"/>
    <w:rsid w:val="001D0268"/>
    <w:rsid w:val="001D1A4F"/>
    <w:rsid w:val="001D4ECE"/>
    <w:rsid w:val="001D5E0E"/>
    <w:rsid w:val="001E511F"/>
    <w:rsid w:val="001F640F"/>
    <w:rsid w:val="00214BDC"/>
    <w:rsid w:val="00215284"/>
    <w:rsid w:val="00217CF3"/>
    <w:rsid w:val="00236078"/>
    <w:rsid w:val="0023771B"/>
    <w:rsid w:val="0024233F"/>
    <w:rsid w:val="00250C94"/>
    <w:rsid w:val="00253326"/>
    <w:rsid w:val="00256DE5"/>
    <w:rsid w:val="00277011"/>
    <w:rsid w:val="00277D6E"/>
    <w:rsid w:val="00285A51"/>
    <w:rsid w:val="002860E1"/>
    <w:rsid w:val="002A2778"/>
    <w:rsid w:val="002A346F"/>
    <w:rsid w:val="002B2BEF"/>
    <w:rsid w:val="002B57EC"/>
    <w:rsid w:val="002C366F"/>
    <w:rsid w:val="002C5EBF"/>
    <w:rsid w:val="002D2F38"/>
    <w:rsid w:val="002D6C36"/>
    <w:rsid w:val="002E6DE5"/>
    <w:rsid w:val="00302988"/>
    <w:rsid w:val="00320D93"/>
    <w:rsid w:val="003257A9"/>
    <w:rsid w:val="00327CD1"/>
    <w:rsid w:val="00346845"/>
    <w:rsid w:val="00361CB6"/>
    <w:rsid w:val="00367A05"/>
    <w:rsid w:val="00377BC2"/>
    <w:rsid w:val="0038021A"/>
    <w:rsid w:val="00381B5F"/>
    <w:rsid w:val="00387218"/>
    <w:rsid w:val="00393F03"/>
    <w:rsid w:val="003A40B6"/>
    <w:rsid w:val="003A55D9"/>
    <w:rsid w:val="003D5290"/>
    <w:rsid w:val="003F54DC"/>
    <w:rsid w:val="00413761"/>
    <w:rsid w:val="00416571"/>
    <w:rsid w:val="00417B58"/>
    <w:rsid w:val="00421866"/>
    <w:rsid w:val="004478E4"/>
    <w:rsid w:val="00452223"/>
    <w:rsid w:val="00454B89"/>
    <w:rsid w:val="00454EE9"/>
    <w:rsid w:val="00460B37"/>
    <w:rsid w:val="0048296D"/>
    <w:rsid w:val="004839D9"/>
    <w:rsid w:val="00486D88"/>
    <w:rsid w:val="004A12AC"/>
    <w:rsid w:val="004A3A67"/>
    <w:rsid w:val="004A4534"/>
    <w:rsid w:val="004B2BE4"/>
    <w:rsid w:val="004C2F65"/>
    <w:rsid w:val="004C3BDF"/>
    <w:rsid w:val="004E55EF"/>
    <w:rsid w:val="004F55CE"/>
    <w:rsid w:val="00503485"/>
    <w:rsid w:val="00506CA4"/>
    <w:rsid w:val="005200B4"/>
    <w:rsid w:val="005220CB"/>
    <w:rsid w:val="00556308"/>
    <w:rsid w:val="005634A7"/>
    <w:rsid w:val="00565EE2"/>
    <w:rsid w:val="00566DFB"/>
    <w:rsid w:val="005713AD"/>
    <w:rsid w:val="00590357"/>
    <w:rsid w:val="00590A39"/>
    <w:rsid w:val="00597E0D"/>
    <w:rsid w:val="005A0857"/>
    <w:rsid w:val="005A2D44"/>
    <w:rsid w:val="005A5CEC"/>
    <w:rsid w:val="005A7B1F"/>
    <w:rsid w:val="005B105D"/>
    <w:rsid w:val="005B4D54"/>
    <w:rsid w:val="005C01A8"/>
    <w:rsid w:val="005E278A"/>
    <w:rsid w:val="005E4EF5"/>
    <w:rsid w:val="005F575C"/>
    <w:rsid w:val="005F7CD0"/>
    <w:rsid w:val="00610ED7"/>
    <w:rsid w:val="0062048C"/>
    <w:rsid w:val="00621FC6"/>
    <w:rsid w:val="00625597"/>
    <w:rsid w:val="00635CE5"/>
    <w:rsid w:val="00642404"/>
    <w:rsid w:val="00645F35"/>
    <w:rsid w:val="00654DC1"/>
    <w:rsid w:val="00654EED"/>
    <w:rsid w:val="006639F8"/>
    <w:rsid w:val="006661DB"/>
    <w:rsid w:val="00686BF8"/>
    <w:rsid w:val="00695784"/>
    <w:rsid w:val="006A72A4"/>
    <w:rsid w:val="006B4C80"/>
    <w:rsid w:val="006C2380"/>
    <w:rsid w:val="006D75F0"/>
    <w:rsid w:val="006E58E5"/>
    <w:rsid w:val="006F016B"/>
    <w:rsid w:val="00703716"/>
    <w:rsid w:val="00710BA8"/>
    <w:rsid w:val="0071541C"/>
    <w:rsid w:val="0072018B"/>
    <w:rsid w:val="00726ADE"/>
    <w:rsid w:val="0072791F"/>
    <w:rsid w:val="0073386D"/>
    <w:rsid w:val="00746775"/>
    <w:rsid w:val="00753038"/>
    <w:rsid w:val="007578FC"/>
    <w:rsid w:val="00760EC0"/>
    <w:rsid w:val="007618B5"/>
    <w:rsid w:val="007719F4"/>
    <w:rsid w:val="00771DEC"/>
    <w:rsid w:val="007769A1"/>
    <w:rsid w:val="00784FF6"/>
    <w:rsid w:val="007856A9"/>
    <w:rsid w:val="00785E49"/>
    <w:rsid w:val="007A294A"/>
    <w:rsid w:val="007B27A6"/>
    <w:rsid w:val="007B4C13"/>
    <w:rsid w:val="007C1962"/>
    <w:rsid w:val="007D2ED2"/>
    <w:rsid w:val="007D6C93"/>
    <w:rsid w:val="007E66D0"/>
    <w:rsid w:val="007F3C0B"/>
    <w:rsid w:val="00812F8E"/>
    <w:rsid w:val="00813F04"/>
    <w:rsid w:val="00814D12"/>
    <w:rsid w:val="00814DDF"/>
    <w:rsid w:val="00842EDD"/>
    <w:rsid w:val="00844810"/>
    <w:rsid w:val="00851A1A"/>
    <w:rsid w:val="008556C4"/>
    <w:rsid w:val="008600CC"/>
    <w:rsid w:val="00866AAB"/>
    <w:rsid w:val="00867DA5"/>
    <w:rsid w:val="0087247B"/>
    <w:rsid w:val="008804A2"/>
    <w:rsid w:val="008C209A"/>
    <w:rsid w:val="008D1054"/>
    <w:rsid w:val="008D455E"/>
    <w:rsid w:val="008D74D6"/>
    <w:rsid w:val="008F6165"/>
    <w:rsid w:val="009060D1"/>
    <w:rsid w:val="009212C4"/>
    <w:rsid w:val="009261A6"/>
    <w:rsid w:val="00932AD9"/>
    <w:rsid w:val="009426E2"/>
    <w:rsid w:val="009607A2"/>
    <w:rsid w:val="00963742"/>
    <w:rsid w:val="0096530C"/>
    <w:rsid w:val="00965F67"/>
    <w:rsid w:val="00966C88"/>
    <w:rsid w:val="009816B3"/>
    <w:rsid w:val="0098693F"/>
    <w:rsid w:val="00987602"/>
    <w:rsid w:val="00990955"/>
    <w:rsid w:val="009A6E18"/>
    <w:rsid w:val="009B1AF3"/>
    <w:rsid w:val="009B52BD"/>
    <w:rsid w:val="009C2067"/>
    <w:rsid w:val="009C283F"/>
    <w:rsid w:val="009C3CB0"/>
    <w:rsid w:val="009C525E"/>
    <w:rsid w:val="009C6571"/>
    <w:rsid w:val="009C6D04"/>
    <w:rsid w:val="009D6F6C"/>
    <w:rsid w:val="009E6EF3"/>
    <w:rsid w:val="009E7B56"/>
    <w:rsid w:val="00A01F63"/>
    <w:rsid w:val="00A17BF8"/>
    <w:rsid w:val="00A211E0"/>
    <w:rsid w:val="00A46D22"/>
    <w:rsid w:val="00A50B72"/>
    <w:rsid w:val="00A64061"/>
    <w:rsid w:val="00A66DF2"/>
    <w:rsid w:val="00A73BB7"/>
    <w:rsid w:val="00A84CA5"/>
    <w:rsid w:val="00A86935"/>
    <w:rsid w:val="00A90C1B"/>
    <w:rsid w:val="00A924C3"/>
    <w:rsid w:val="00AA4DA3"/>
    <w:rsid w:val="00AA694E"/>
    <w:rsid w:val="00AB5EEF"/>
    <w:rsid w:val="00AC3EC8"/>
    <w:rsid w:val="00AC6748"/>
    <w:rsid w:val="00AC75E6"/>
    <w:rsid w:val="00AD053A"/>
    <w:rsid w:val="00AD14A0"/>
    <w:rsid w:val="00AD1D13"/>
    <w:rsid w:val="00AD7D97"/>
    <w:rsid w:val="00AE0450"/>
    <w:rsid w:val="00AE48E5"/>
    <w:rsid w:val="00AF415D"/>
    <w:rsid w:val="00B035A1"/>
    <w:rsid w:val="00B158C4"/>
    <w:rsid w:val="00B23987"/>
    <w:rsid w:val="00B33EA0"/>
    <w:rsid w:val="00B35DE8"/>
    <w:rsid w:val="00B4319E"/>
    <w:rsid w:val="00B44D7D"/>
    <w:rsid w:val="00B54C3E"/>
    <w:rsid w:val="00B55FA2"/>
    <w:rsid w:val="00B63757"/>
    <w:rsid w:val="00B663BE"/>
    <w:rsid w:val="00B72A99"/>
    <w:rsid w:val="00B7324A"/>
    <w:rsid w:val="00B857BF"/>
    <w:rsid w:val="00B87565"/>
    <w:rsid w:val="00B91EA2"/>
    <w:rsid w:val="00B96ED3"/>
    <w:rsid w:val="00BA2F71"/>
    <w:rsid w:val="00BA30F1"/>
    <w:rsid w:val="00BB3FBB"/>
    <w:rsid w:val="00BD000B"/>
    <w:rsid w:val="00BD67D8"/>
    <w:rsid w:val="00BE1BA2"/>
    <w:rsid w:val="00C0032B"/>
    <w:rsid w:val="00C007BF"/>
    <w:rsid w:val="00C0206F"/>
    <w:rsid w:val="00C0271B"/>
    <w:rsid w:val="00C03998"/>
    <w:rsid w:val="00C04FB3"/>
    <w:rsid w:val="00C100A6"/>
    <w:rsid w:val="00C14EB9"/>
    <w:rsid w:val="00C1606F"/>
    <w:rsid w:val="00C227DC"/>
    <w:rsid w:val="00C23D87"/>
    <w:rsid w:val="00C305E3"/>
    <w:rsid w:val="00C36308"/>
    <w:rsid w:val="00C43EBA"/>
    <w:rsid w:val="00C46435"/>
    <w:rsid w:val="00C47E18"/>
    <w:rsid w:val="00C54674"/>
    <w:rsid w:val="00C568CA"/>
    <w:rsid w:val="00C64B87"/>
    <w:rsid w:val="00C72B62"/>
    <w:rsid w:val="00C73F93"/>
    <w:rsid w:val="00C80A81"/>
    <w:rsid w:val="00C84666"/>
    <w:rsid w:val="00C87ED0"/>
    <w:rsid w:val="00C925AA"/>
    <w:rsid w:val="00C94E43"/>
    <w:rsid w:val="00C96606"/>
    <w:rsid w:val="00CA42C5"/>
    <w:rsid w:val="00CB7BF7"/>
    <w:rsid w:val="00CC1A63"/>
    <w:rsid w:val="00CC3603"/>
    <w:rsid w:val="00CD0787"/>
    <w:rsid w:val="00CD0E68"/>
    <w:rsid w:val="00CD24B6"/>
    <w:rsid w:val="00CD6259"/>
    <w:rsid w:val="00CE47B3"/>
    <w:rsid w:val="00CF076A"/>
    <w:rsid w:val="00D00C82"/>
    <w:rsid w:val="00D01381"/>
    <w:rsid w:val="00D067EF"/>
    <w:rsid w:val="00D14BEE"/>
    <w:rsid w:val="00D15A50"/>
    <w:rsid w:val="00D16F2A"/>
    <w:rsid w:val="00D17968"/>
    <w:rsid w:val="00D27833"/>
    <w:rsid w:val="00D30B9E"/>
    <w:rsid w:val="00D30BF4"/>
    <w:rsid w:val="00D36C60"/>
    <w:rsid w:val="00D41D52"/>
    <w:rsid w:val="00D51146"/>
    <w:rsid w:val="00D64BAE"/>
    <w:rsid w:val="00D73DE6"/>
    <w:rsid w:val="00D80C66"/>
    <w:rsid w:val="00D86758"/>
    <w:rsid w:val="00D8712F"/>
    <w:rsid w:val="00D87FFC"/>
    <w:rsid w:val="00D9732D"/>
    <w:rsid w:val="00DA3CDE"/>
    <w:rsid w:val="00DA5B3C"/>
    <w:rsid w:val="00DA5EB8"/>
    <w:rsid w:val="00DA7987"/>
    <w:rsid w:val="00DB61FF"/>
    <w:rsid w:val="00DD2D6F"/>
    <w:rsid w:val="00DE1472"/>
    <w:rsid w:val="00DE2030"/>
    <w:rsid w:val="00DE2C37"/>
    <w:rsid w:val="00DE6A98"/>
    <w:rsid w:val="00E0428A"/>
    <w:rsid w:val="00E12A0E"/>
    <w:rsid w:val="00E14D91"/>
    <w:rsid w:val="00E14F28"/>
    <w:rsid w:val="00E25946"/>
    <w:rsid w:val="00E3776A"/>
    <w:rsid w:val="00E37C87"/>
    <w:rsid w:val="00E606CF"/>
    <w:rsid w:val="00E62DFD"/>
    <w:rsid w:val="00E630EA"/>
    <w:rsid w:val="00E63519"/>
    <w:rsid w:val="00E64660"/>
    <w:rsid w:val="00E71CC8"/>
    <w:rsid w:val="00E76712"/>
    <w:rsid w:val="00E80098"/>
    <w:rsid w:val="00E84C56"/>
    <w:rsid w:val="00E94767"/>
    <w:rsid w:val="00E97F7E"/>
    <w:rsid w:val="00EA3E17"/>
    <w:rsid w:val="00EA4301"/>
    <w:rsid w:val="00EB0FFE"/>
    <w:rsid w:val="00EB654E"/>
    <w:rsid w:val="00EB6573"/>
    <w:rsid w:val="00EB6B5B"/>
    <w:rsid w:val="00EB778B"/>
    <w:rsid w:val="00EC43C6"/>
    <w:rsid w:val="00EC550B"/>
    <w:rsid w:val="00ED0E2A"/>
    <w:rsid w:val="00ED1546"/>
    <w:rsid w:val="00ED3BAF"/>
    <w:rsid w:val="00EF14FE"/>
    <w:rsid w:val="00F01D78"/>
    <w:rsid w:val="00F03413"/>
    <w:rsid w:val="00F04BDC"/>
    <w:rsid w:val="00F10F54"/>
    <w:rsid w:val="00F17F9C"/>
    <w:rsid w:val="00F21DF1"/>
    <w:rsid w:val="00F2527E"/>
    <w:rsid w:val="00F46B2C"/>
    <w:rsid w:val="00F57313"/>
    <w:rsid w:val="00F641F1"/>
    <w:rsid w:val="00F72D14"/>
    <w:rsid w:val="00F7669E"/>
    <w:rsid w:val="00FA68B5"/>
    <w:rsid w:val="00FA7CEE"/>
    <w:rsid w:val="00FB110F"/>
    <w:rsid w:val="00FB5C2C"/>
    <w:rsid w:val="00FC314D"/>
    <w:rsid w:val="00FD6B9C"/>
    <w:rsid w:val="00FE1702"/>
    <w:rsid w:val="00FE2AA7"/>
    <w:rsid w:val="00FE3D7F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D5106"/>
  <w15:docId w15:val="{8AFAF494-EC6F-41A6-AFF4-8BBB8449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01381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ti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://www.BarometrPra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appdata\roaming\microsoft\szablony\GT_Word_Templates\A4\Press%20Release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832998730693551E-2"/>
          <c:y val="6.2341710500681866E-2"/>
          <c:w val="0.88750895815254849"/>
          <c:h val="0.81986712502550274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Pt>
            <c:idx val="30"/>
            <c:marker>
              <c:symbol val="none"/>
            </c:marker>
            <c:bubble3D val="0"/>
            <c:spPr>
              <a:ln w="28575" cap="rnd">
                <a:solidFill>
                  <a:srgbClr val="00A1B5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58F-45C8-8EE5-D991B53D01A1}"/>
              </c:ext>
            </c:extLst>
          </c:dPt>
          <c:dLbls>
            <c:dLbl>
              <c:idx val="30"/>
              <c:layout>
                <c:manualLayout>
                  <c:x val="-2.7139596064594863E-2"/>
                  <c:y val="-0.143495615806978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+mn-cs"/>
                      </a:defRPr>
                    </a:pPr>
                    <a:fld id="{CEB2D97E-610F-4316-AEFE-A2111FF7A41F}" type="VALUE">
                      <a:rPr lang="en-US" b="1">
                        <a:solidFill>
                          <a:srgbClr val="00A1B5"/>
                        </a:solidFill>
                        <a:latin typeface="Arial Black" panose="020B0A04020102020204" pitchFamily="34" charset="0"/>
                      </a:rPr>
                      <a:pPr>
                        <a:defRPr/>
                      </a:pPr>
                      <a:t>[WARTOŚĆ]</a:t>
                    </a:fld>
                    <a:endParaRPr lang="en-US" b="1">
                      <a:solidFill>
                        <a:srgbClr val="00A1B5"/>
                      </a:solidFill>
                      <a:latin typeface="Arial Black" panose="020B0A04020102020204" pitchFamily="34" charset="0"/>
                    </a:endParaRPr>
                  </a:p>
                  <a:p>
                    <a:pPr>
                      <a:defRPr/>
                    </a:pPr>
                    <a:r>
                      <a:rPr lang="en-US" sz="700"/>
                      <a:t>(+5,6%)</a:t>
                    </a:r>
                  </a:p>
                </c:rich>
              </c:tx>
              <c:spPr>
                <a:noFill/>
                <a:ln w="12700">
                  <a:solidFill>
                    <a:srgbClr val="00A1B5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836269012462412E-2"/>
                      <c:h val="7.660535656663439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58F-45C8-8EE5-D991B53D0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'wszystkie duze'!$B$47:$B$77</c:f>
              <c:strCache>
                <c:ptCount val="31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  <c:pt idx="30">
                  <c:v>2019</c:v>
                </c:pt>
              </c:strCache>
            </c:strRef>
          </c:cat>
          <c:val>
            <c:numRef>
              <c:f>'wszystkie duze'!$C$47:$C$77</c:f>
              <c:numCache>
                <c:formatCode>General</c:formatCode>
                <c:ptCount val="31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>
                  <c:v>35280</c:v>
                </c:pt>
                <c:pt idx="28">
                  <c:v>23681</c:v>
                </c:pt>
                <c:pt idx="29">
                  <c:v>20325</c:v>
                </c:pt>
                <c:pt idx="30">
                  <c:v>21457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8F-45C8-8EE5-D991B53D0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3393551"/>
        <c:axId val="633394799"/>
      </c:lineChart>
      <c:catAx>
        <c:axId val="633393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pl-PL"/>
          </a:p>
        </c:txPr>
        <c:crossAx val="633394799"/>
        <c:crosses val="autoZero"/>
        <c:auto val="1"/>
        <c:lblAlgn val="ctr"/>
        <c:lblOffset val="100"/>
        <c:noMultiLvlLbl val="0"/>
      </c:catAx>
      <c:valAx>
        <c:axId val="6333947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pl-PL"/>
          </a:p>
        </c:txPr>
        <c:crossAx val="633393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'stara vs nowa'!$B$1</c:f>
              <c:strCache>
                <c:ptCount val="1"/>
                <c:pt idx="0">
                  <c:v>Dotychczasowe wyniki</c:v>
                </c:pt>
              </c:strCache>
            </c:strRef>
          </c:tx>
          <c:spPr>
            <a:ln w="28575" cap="rnd">
              <a:solidFill>
                <a:srgbClr val="4F2D7F"/>
              </a:solidFill>
              <a:round/>
            </a:ln>
            <a:effectLst/>
          </c:spPr>
          <c:marker>
            <c:symbol val="none"/>
          </c:marker>
          <c:cat>
            <c:strRef>
              <c:f>'stara vs nowa'!$A$2:$A$31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'stara vs nowa'!$B$2:$B$31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7456</c:v>
                </c:pt>
                <c:pt idx="12">
                  <c:v>13132</c:v>
                </c:pt>
                <c:pt idx="13">
                  <c:v>16020</c:v>
                </c:pt>
                <c:pt idx="14">
                  <c:v>16456</c:v>
                </c:pt>
                <c:pt idx="15">
                  <c:v>21034</c:v>
                </c:pt>
                <c:pt idx="16">
                  <c:v>17612</c:v>
                </c:pt>
                <c:pt idx="17">
                  <c:v>12936</c:v>
                </c:pt>
                <c:pt idx="18">
                  <c:v>17988</c:v>
                </c:pt>
                <c:pt idx="19">
                  <c:v>13724</c:v>
                </c:pt>
                <c:pt idx="20">
                  <c:v>18352</c:v>
                </c:pt>
                <c:pt idx="21">
                  <c:v>18246</c:v>
                </c:pt>
                <c:pt idx="22">
                  <c:v>17484</c:v>
                </c:pt>
                <c:pt idx="23">
                  <c:v>19761</c:v>
                </c:pt>
                <c:pt idx="24">
                  <c:v>22986</c:v>
                </c:pt>
                <c:pt idx="25">
                  <c:v>25634</c:v>
                </c:pt>
                <c:pt idx="26">
                  <c:v>29843</c:v>
                </c:pt>
                <c:pt idx="27" formatCode="0">
                  <c:v>31906</c:v>
                </c:pt>
                <c:pt idx="28" formatCode="0">
                  <c:v>27118</c:v>
                </c:pt>
                <c:pt idx="29" formatCode="#,##0">
                  <c:v>14641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8A-49B6-A8E2-2D35D7D9864F}"/>
            </c:ext>
          </c:extLst>
        </c:ser>
        <c:ser>
          <c:idx val="1"/>
          <c:order val="1"/>
          <c:tx>
            <c:strRef>
              <c:f>'stara vs nowa'!$C$1</c:f>
              <c:strCache>
                <c:ptCount val="1"/>
                <c:pt idx="0">
                  <c:v>Wyniki po dostosowaniu metodologii</c:v>
                </c:pt>
              </c:strCache>
            </c:strRef>
          </c:tx>
          <c:spPr>
            <a:ln w="28575" cap="rnd">
              <a:solidFill>
                <a:srgbClr val="00A1B5"/>
              </a:solidFill>
              <a:round/>
            </a:ln>
            <a:effectLst/>
          </c:spPr>
          <c:marker>
            <c:symbol val="none"/>
          </c:marker>
          <c:cat>
            <c:strRef>
              <c:f>'stara vs nowa'!$A$2:$A$31</c:f>
              <c:strCache>
                <c:ptCount val="30"/>
                <c:pt idx="0">
                  <c:v>1989</c:v>
                </c:pt>
                <c:pt idx="1">
                  <c:v>1990</c:v>
                </c:pt>
                <c:pt idx="2">
                  <c:v>1991</c:v>
                </c:pt>
                <c:pt idx="3">
                  <c:v>1992</c:v>
                </c:pt>
                <c:pt idx="4">
                  <c:v>1993</c:v>
                </c:pt>
                <c:pt idx="5">
                  <c:v>1994</c:v>
                </c:pt>
                <c:pt idx="6">
                  <c:v>1995</c:v>
                </c:pt>
                <c:pt idx="7">
                  <c:v>1996</c:v>
                </c:pt>
                <c:pt idx="8">
                  <c:v>1997</c:v>
                </c:pt>
                <c:pt idx="9">
                  <c:v>1998</c:v>
                </c:pt>
                <c:pt idx="10">
                  <c:v>1999</c:v>
                </c:pt>
                <c:pt idx="11">
                  <c:v>2000</c:v>
                </c:pt>
                <c:pt idx="12">
                  <c:v>2001</c:v>
                </c:pt>
                <c:pt idx="13">
                  <c:v>2002</c:v>
                </c:pt>
                <c:pt idx="14">
                  <c:v>2003</c:v>
                </c:pt>
                <c:pt idx="15">
                  <c:v>2004</c:v>
                </c:pt>
                <c:pt idx="16">
                  <c:v>2005</c:v>
                </c:pt>
                <c:pt idx="17">
                  <c:v>2006</c:v>
                </c:pt>
                <c:pt idx="18">
                  <c:v>2007</c:v>
                </c:pt>
                <c:pt idx="19">
                  <c:v>2008</c:v>
                </c:pt>
                <c:pt idx="20">
                  <c:v>2009</c:v>
                </c:pt>
                <c:pt idx="21">
                  <c:v>2010</c:v>
                </c:pt>
                <c:pt idx="22">
                  <c:v>2011</c:v>
                </c:pt>
                <c:pt idx="23">
                  <c:v>2012</c:v>
                </c:pt>
                <c:pt idx="24">
                  <c:v>2013</c:v>
                </c:pt>
                <c:pt idx="25">
                  <c:v>2014</c:v>
                </c:pt>
                <c:pt idx="26">
                  <c:v>2015</c:v>
                </c:pt>
                <c:pt idx="27">
                  <c:v>2016</c:v>
                </c:pt>
                <c:pt idx="28">
                  <c:v>2017</c:v>
                </c:pt>
                <c:pt idx="29">
                  <c:v>2018</c:v>
                </c:pt>
              </c:strCache>
            </c:strRef>
          </c:cat>
          <c:val>
            <c:numRef>
              <c:f>'stara vs nowa'!$C$2:$C$31</c:f>
              <c:numCache>
                <c:formatCode>General</c:formatCode>
                <c:ptCount val="30"/>
                <c:pt idx="0">
                  <c:v>1186</c:v>
                </c:pt>
                <c:pt idx="1">
                  <c:v>1348</c:v>
                </c:pt>
                <c:pt idx="2">
                  <c:v>1824</c:v>
                </c:pt>
                <c:pt idx="3">
                  <c:v>1836</c:v>
                </c:pt>
                <c:pt idx="4">
                  <c:v>2402</c:v>
                </c:pt>
                <c:pt idx="5">
                  <c:v>3034</c:v>
                </c:pt>
                <c:pt idx="6">
                  <c:v>3747</c:v>
                </c:pt>
                <c:pt idx="7">
                  <c:v>3781</c:v>
                </c:pt>
                <c:pt idx="8">
                  <c:v>5672</c:v>
                </c:pt>
                <c:pt idx="9">
                  <c:v>7492</c:v>
                </c:pt>
                <c:pt idx="10">
                  <c:v>7036</c:v>
                </c:pt>
                <c:pt idx="11">
                  <c:v>7016</c:v>
                </c:pt>
                <c:pt idx="12">
                  <c:v>12491</c:v>
                </c:pt>
                <c:pt idx="13">
                  <c:v>15019</c:v>
                </c:pt>
                <c:pt idx="14">
                  <c:v>15742</c:v>
                </c:pt>
                <c:pt idx="15">
                  <c:v>20059</c:v>
                </c:pt>
                <c:pt idx="16">
                  <c:v>16587</c:v>
                </c:pt>
                <c:pt idx="17">
                  <c:v>12033</c:v>
                </c:pt>
                <c:pt idx="18">
                  <c:v>16631</c:v>
                </c:pt>
                <c:pt idx="19">
                  <c:v>12654</c:v>
                </c:pt>
                <c:pt idx="20">
                  <c:v>17423</c:v>
                </c:pt>
                <c:pt idx="21">
                  <c:v>16893</c:v>
                </c:pt>
                <c:pt idx="22" formatCode="#,##0">
                  <c:v>16387</c:v>
                </c:pt>
                <c:pt idx="23">
                  <c:v>20049</c:v>
                </c:pt>
                <c:pt idx="24">
                  <c:v>20712</c:v>
                </c:pt>
                <c:pt idx="25">
                  <c:v>20434</c:v>
                </c:pt>
                <c:pt idx="26">
                  <c:v>24781</c:v>
                </c:pt>
                <c:pt idx="27" formatCode="0">
                  <c:v>35280</c:v>
                </c:pt>
                <c:pt idx="28" formatCode="0">
                  <c:v>23681</c:v>
                </c:pt>
                <c:pt idx="29" formatCode="0">
                  <c:v>20325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8A-49B6-A8E2-2D35D7D986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3503983"/>
        <c:axId val="613490255"/>
      </c:lineChart>
      <c:catAx>
        <c:axId val="613503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3490255"/>
        <c:crosses val="autoZero"/>
        <c:auto val="1"/>
        <c:lblAlgn val="ctr"/>
        <c:lblOffset val="100"/>
        <c:noMultiLvlLbl val="0"/>
      </c:catAx>
      <c:valAx>
        <c:axId val="613490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3503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</Template>
  <TotalTime>1</TotalTime>
  <Pages>5</Pages>
  <Words>808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Mendak Aleksandra</dc:creator>
  <cp:lastModifiedBy>Kowalczyk Jacek</cp:lastModifiedBy>
  <cp:revision>3</cp:revision>
  <cp:lastPrinted>2007-08-23T16:47:00Z</cp:lastPrinted>
  <dcterms:created xsi:type="dcterms:W3CDTF">2019-08-22T09:06:00Z</dcterms:created>
  <dcterms:modified xsi:type="dcterms:W3CDTF">2019-08-22T09:07:00Z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