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20.xml" ContentType="application/vnd.openxmlformats-officedocument.drawingml.chart+xml"/>
  <Override PartName="/word/charts/colors20.xml" ContentType="application/vnd.ms-office.chartcolorstyle+xml"/>
  <Override PartName="/word/charts/style2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2F" w:rsidRDefault="00D8712F" w:rsidP="00C04FB3">
      <w:pPr>
        <w:pStyle w:val="PRTitle"/>
        <w:spacing w:line="276" w:lineRule="auto"/>
        <w:rPr>
          <w:sz w:val="44"/>
          <w:lang w:val="pl-PL"/>
        </w:rPr>
      </w:pPr>
    </w:p>
    <w:p w:rsidR="00813F04" w:rsidRPr="00043B07" w:rsidRDefault="00625597" w:rsidP="00C04FB3">
      <w:pPr>
        <w:pStyle w:val="PRTitle"/>
        <w:spacing w:line="276" w:lineRule="auto"/>
        <w:rPr>
          <w:sz w:val="96"/>
          <w:lang w:val="pl-PL"/>
        </w:rPr>
      </w:pPr>
      <w:r w:rsidRPr="00043B07">
        <w:rPr>
          <w:sz w:val="96"/>
          <w:lang w:val="pl-PL"/>
        </w:rPr>
        <w:t>Pr</w:t>
      </w:r>
      <w:r w:rsidR="00043B07" w:rsidRPr="00043B07">
        <w:rPr>
          <w:sz w:val="96"/>
          <w:lang w:val="pl-PL"/>
        </w:rPr>
        <w:t xml:space="preserve">odukcja prawa </w:t>
      </w:r>
      <w:r w:rsidR="00094191">
        <w:rPr>
          <w:sz w:val="96"/>
          <w:lang w:val="pl-PL"/>
        </w:rPr>
        <w:t xml:space="preserve">znowu </w:t>
      </w:r>
      <w:r w:rsidR="00581776">
        <w:rPr>
          <w:sz w:val="96"/>
          <w:lang w:val="pl-PL"/>
        </w:rPr>
        <w:t>lekko w górę</w:t>
      </w:r>
    </w:p>
    <w:p w:rsidR="00D067EF" w:rsidRDefault="00D067EF" w:rsidP="00B87565">
      <w:pPr>
        <w:pStyle w:val="Tekstpodstawowy"/>
        <w:rPr>
          <w:b/>
          <w:color w:val="00A7B5" w:themeColor="accent3"/>
          <w:lang w:val="pl-PL"/>
        </w:rPr>
      </w:pPr>
    </w:p>
    <w:p w:rsidR="00D8712F" w:rsidRPr="00D8712F" w:rsidRDefault="001D25C7" w:rsidP="00B87565">
      <w:pPr>
        <w:pStyle w:val="Tekstpodstawowy"/>
        <w:rPr>
          <w:b/>
          <w:color w:val="00A7B5" w:themeColor="accent3"/>
          <w:lang w:val="pl-PL"/>
        </w:rPr>
      </w:pPr>
      <w:r>
        <w:rPr>
          <w:b/>
          <w:color w:val="00A7B5" w:themeColor="accent3"/>
          <w:lang w:val="pl-PL"/>
        </w:rPr>
        <w:t xml:space="preserve">Aktualizacja za III kwartał </w:t>
      </w:r>
      <w:r w:rsidR="00094191">
        <w:rPr>
          <w:b/>
          <w:color w:val="00A7B5" w:themeColor="accent3"/>
          <w:lang w:val="pl-PL"/>
        </w:rPr>
        <w:t>2019</w:t>
      </w:r>
      <w:r w:rsidR="00142F32">
        <w:rPr>
          <w:b/>
          <w:color w:val="00A7B5" w:themeColor="accent3"/>
          <w:lang w:val="pl-PL"/>
        </w:rPr>
        <w:t xml:space="preserve"> r.</w:t>
      </w:r>
    </w:p>
    <w:p w:rsidR="00B87565" w:rsidRPr="000C4938" w:rsidRDefault="00410A95" w:rsidP="00B87565">
      <w:pPr>
        <w:pStyle w:val="Tekstpodstawowy"/>
        <w:rPr>
          <w:lang w:val="pl-PL"/>
        </w:rPr>
      </w:pPr>
      <w:r>
        <w:rPr>
          <w:lang w:val="pl-PL"/>
        </w:rPr>
        <w:t>17 października</w:t>
      </w:r>
      <w:r w:rsidR="00236078">
        <w:rPr>
          <w:lang w:val="pl-PL"/>
        </w:rPr>
        <w:t xml:space="preserve"> 2019</w:t>
      </w:r>
      <w:r w:rsidR="00AE0450" w:rsidRPr="000C4938">
        <w:rPr>
          <w:lang w:val="pl-PL"/>
        </w:rPr>
        <w:t xml:space="preserve"> r.</w:t>
      </w:r>
    </w:p>
    <w:p w:rsidR="00AE0450" w:rsidRDefault="00AE0450" w:rsidP="00B87565">
      <w:pPr>
        <w:pStyle w:val="Tekstpodstawowy"/>
        <w:rPr>
          <w:lang w:val="pl-PL"/>
        </w:rPr>
      </w:pPr>
    </w:p>
    <w:p w:rsidR="000C4938" w:rsidRPr="000C4938" w:rsidRDefault="000C4938" w:rsidP="00B87565">
      <w:pPr>
        <w:pStyle w:val="Tekstpodstawowy"/>
        <w:rPr>
          <w:lang w:val="pl-PL"/>
        </w:rPr>
      </w:pPr>
    </w:p>
    <w:p w:rsidR="00043B07" w:rsidRDefault="00043B07" w:rsidP="00AE0450">
      <w:pPr>
        <w:pStyle w:val="Tekstpodstawowy"/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</w:pPr>
    </w:p>
    <w:p w:rsidR="000C4938" w:rsidRPr="00D8712F" w:rsidRDefault="00094191" w:rsidP="00D8712F">
      <w:pPr>
        <w:pStyle w:val="Tekstpodstawowy"/>
        <w:spacing w:after="0" w:line="360" w:lineRule="auto"/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</w:pPr>
      <w:r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W </w:t>
      </w:r>
      <w:r w:rsidR="00581776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trzecim kwartale</w:t>
      </w:r>
      <w:r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2019</w:t>
      </w:r>
      <w:r w:rsid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r.</w:t>
      </w:r>
      <w:r w:rsidR="00581776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opublikowano w Polsce</w:t>
      </w:r>
      <w:r w:rsidR="00152D0A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5,6 </w:t>
      </w:r>
      <w:r w:rsidR="009B1AF3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tys.</w:t>
      </w:r>
      <w:r w:rsidR="00625597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stron maszynopisu </w:t>
      </w:r>
      <w:r w:rsidR="00152D0A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nowych </w:t>
      </w:r>
      <w:r w:rsidR="00625597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aktów pr</w:t>
      </w:r>
      <w:r w:rsidR="00565EE2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awnych najwyższego r</w:t>
      </w:r>
      <w:r w:rsidR="0098693F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zędu. </w:t>
      </w:r>
      <w:r w:rsidR="004A12AC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To </w:t>
      </w:r>
      <w:r w:rsidR="009B1AF3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wzrost o 6</w:t>
      </w:r>
      <w:r w:rsidR="00152D0A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,6</w:t>
      </w:r>
      <w:r w:rsidR="009B1AF3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proc. </w:t>
      </w:r>
      <w:r w:rsidR="00565EE2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w porównaniu z analogicznym okresem ubiegłego roku</w:t>
      </w:r>
      <w:r w:rsidR="0098693F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– 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wynika z najnowszej aktualizacji „</w:t>
      </w:r>
      <w:r w:rsidR="00F10F54" w:rsidRPr="00043B07">
        <w:rPr>
          <w:rFonts w:asciiTheme="majorHAnsi" w:hAnsiTheme="majorHAnsi" w:cstheme="majorHAnsi"/>
          <w:bCs/>
          <w:color w:val="4F2D7F"/>
          <w:kern w:val="32"/>
          <w:sz w:val="32"/>
          <w:szCs w:val="28"/>
          <w:lang w:val="pl-PL"/>
        </w:rPr>
        <w:t>Barometru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stabilnoś</w:t>
      </w:r>
      <w:r w:rsidR="00BA30F1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ci otoczenia prawnego w Polsce”.</w:t>
      </w: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8296D" w:rsidRDefault="00F10F54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>
        <w:rPr>
          <w:rFonts w:eastAsia="Calibri" w:cstheme="minorHAnsi"/>
          <w:sz w:val="20"/>
          <w:lang w:val="pl-PL"/>
        </w:rPr>
        <w:t>Firma au</w:t>
      </w:r>
      <w:r w:rsidR="00043B07">
        <w:rPr>
          <w:rFonts w:eastAsia="Calibri" w:cstheme="minorHAnsi"/>
          <w:sz w:val="20"/>
          <w:lang w:val="pl-PL"/>
        </w:rPr>
        <w:t>dytorsko-doradcza</w:t>
      </w:r>
      <w:r w:rsidRPr="00F10F54">
        <w:rPr>
          <w:rFonts w:eastAsia="Calibri" w:cstheme="minorHAnsi"/>
          <w:sz w:val="20"/>
          <w:lang w:val="pl-PL"/>
        </w:rPr>
        <w:t xml:space="preserve"> Grant Thornton w lutym 2015 r. zainaugurowała swój projekt badawczy „Barometr stabilności otoczenia prawnego w polskiej gospodarce”, w ramach którego monitoruje na bieżąco </w:t>
      </w:r>
      <w:r w:rsidR="006C02C9">
        <w:rPr>
          <w:rFonts w:eastAsia="Calibri" w:cstheme="minorHAnsi"/>
          <w:sz w:val="20"/>
          <w:lang w:val="pl-PL"/>
        </w:rPr>
        <w:t>zmienność</w:t>
      </w:r>
      <w:r w:rsidRPr="00F10F54">
        <w:rPr>
          <w:rFonts w:eastAsia="Calibri" w:cstheme="minorHAnsi"/>
          <w:sz w:val="20"/>
          <w:lang w:val="pl-PL"/>
        </w:rPr>
        <w:t xml:space="preserve"> polskiego systemu prawnego. </w:t>
      </w:r>
      <w:r w:rsidR="00043B07">
        <w:rPr>
          <w:rFonts w:eastAsia="Calibri" w:cstheme="minorHAnsi"/>
          <w:sz w:val="20"/>
          <w:lang w:val="pl-PL"/>
        </w:rPr>
        <w:t>Od tego czasu raz do roku publikuje raport na temat skali produkcji nowego prawa w Polsce, a co trzy miesiące przedstawia skrócone aktualizacje kwartal</w:t>
      </w:r>
      <w:r w:rsidR="0098693F">
        <w:rPr>
          <w:rFonts w:eastAsia="Calibri" w:cstheme="minorHAnsi"/>
          <w:sz w:val="20"/>
          <w:lang w:val="pl-PL"/>
        </w:rPr>
        <w:t>n</w:t>
      </w:r>
      <w:r w:rsidR="00043B07">
        <w:rPr>
          <w:rFonts w:eastAsia="Calibri" w:cstheme="minorHAnsi"/>
          <w:sz w:val="20"/>
          <w:lang w:val="pl-PL"/>
        </w:rPr>
        <w:t>e.</w:t>
      </w: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A12AC" w:rsidRDefault="00CC1A63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>
        <w:rPr>
          <w:rFonts w:eastAsia="Calibri" w:cstheme="minorHAnsi"/>
          <w:sz w:val="20"/>
          <w:lang w:val="pl-PL"/>
        </w:rPr>
        <w:t xml:space="preserve">Wnioski </w:t>
      </w:r>
      <w:r w:rsidR="004A4534">
        <w:rPr>
          <w:rFonts w:eastAsia="Calibri" w:cstheme="minorHAnsi"/>
          <w:sz w:val="20"/>
          <w:lang w:val="pl-PL"/>
        </w:rPr>
        <w:t>płynące z najnowszej aktu</w:t>
      </w:r>
      <w:r w:rsidR="00043B07">
        <w:rPr>
          <w:rFonts w:eastAsia="Calibri" w:cstheme="minorHAnsi"/>
          <w:sz w:val="20"/>
          <w:lang w:val="pl-PL"/>
        </w:rPr>
        <w:t>alizacji bada</w:t>
      </w:r>
      <w:r w:rsidR="00152D0A">
        <w:rPr>
          <w:rFonts w:eastAsia="Calibri" w:cstheme="minorHAnsi"/>
          <w:sz w:val="20"/>
          <w:lang w:val="pl-PL"/>
        </w:rPr>
        <w:t>nia – po trzecim kwartale</w:t>
      </w:r>
      <w:r w:rsidR="009B1AF3">
        <w:rPr>
          <w:rFonts w:eastAsia="Calibri" w:cstheme="minorHAnsi"/>
          <w:sz w:val="20"/>
          <w:lang w:val="pl-PL"/>
        </w:rPr>
        <w:t xml:space="preserve"> 2019</w:t>
      </w:r>
      <w:r w:rsidR="00043B07">
        <w:rPr>
          <w:rFonts w:eastAsia="Calibri" w:cstheme="minorHAnsi"/>
          <w:sz w:val="20"/>
          <w:lang w:val="pl-PL"/>
        </w:rPr>
        <w:t xml:space="preserve"> r. –</w:t>
      </w:r>
      <w:r w:rsidR="009B1AF3">
        <w:rPr>
          <w:rFonts w:eastAsia="Calibri" w:cstheme="minorHAnsi"/>
          <w:sz w:val="20"/>
          <w:lang w:val="pl-PL"/>
        </w:rPr>
        <w:t xml:space="preserve"> nie są optymistyczne</w:t>
      </w:r>
      <w:r w:rsidR="00043B07">
        <w:rPr>
          <w:rFonts w:eastAsia="Calibri" w:cstheme="minorHAnsi"/>
          <w:sz w:val="20"/>
          <w:lang w:val="pl-PL"/>
        </w:rPr>
        <w:t>. Od początk</w:t>
      </w:r>
      <w:r w:rsidR="00152D0A">
        <w:rPr>
          <w:rFonts w:eastAsia="Calibri" w:cstheme="minorHAnsi"/>
          <w:sz w:val="20"/>
          <w:lang w:val="pl-PL"/>
        </w:rPr>
        <w:t>u lipca do końca września</w:t>
      </w:r>
      <w:r w:rsidR="004A12AC">
        <w:rPr>
          <w:rFonts w:eastAsia="Calibri" w:cstheme="minorHAnsi"/>
          <w:sz w:val="20"/>
          <w:lang w:val="pl-PL"/>
        </w:rPr>
        <w:t xml:space="preserve"> 2019</w:t>
      </w:r>
      <w:r w:rsidR="00043B07">
        <w:rPr>
          <w:rFonts w:eastAsia="Calibri" w:cstheme="minorHAnsi"/>
          <w:sz w:val="20"/>
          <w:lang w:val="pl-PL"/>
        </w:rPr>
        <w:t xml:space="preserve"> r.</w:t>
      </w:r>
      <w:r w:rsidR="004A4534">
        <w:rPr>
          <w:rFonts w:eastAsia="Calibri" w:cstheme="minorHAnsi"/>
          <w:sz w:val="20"/>
          <w:lang w:val="pl-PL"/>
        </w:rPr>
        <w:t xml:space="preserve"> </w:t>
      </w:r>
      <w:r w:rsidR="00D80C66">
        <w:rPr>
          <w:rFonts w:eastAsia="Calibri" w:cstheme="minorHAnsi"/>
          <w:sz w:val="20"/>
          <w:lang w:val="pl-PL"/>
        </w:rPr>
        <w:t>uchwalono</w:t>
      </w:r>
      <w:r w:rsidR="00043B07">
        <w:rPr>
          <w:rFonts w:eastAsia="Calibri" w:cstheme="minorHAnsi"/>
          <w:sz w:val="20"/>
          <w:lang w:val="pl-PL"/>
        </w:rPr>
        <w:t xml:space="preserve"> w Polsce</w:t>
      </w:r>
      <w:r w:rsidR="00152D0A">
        <w:rPr>
          <w:rFonts w:eastAsia="Calibri" w:cstheme="minorHAnsi"/>
          <w:sz w:val="20"/>
          <w:lang w:val="pl-PL"/>
        </w:rPr>
        <w:t xml:space="preserve"> 5 647</w:t>
      </w:r>
      <w:r w:rsidR="00D80C66">
        <w:rPr>
          <w:rFonts w:eastAsia="Calibri" w:cstheme="minorHAnsi"/>
          <w:sz w:val="20"/>
          <w:lang w:val="pl-PL"/>
        </w:rPr>
        <w:t xml:space="preserve"> stron maszynopisu aktów prawnych</w:t>
      </w:r>
      <w:r w:rsidR="00B23987">
        <w:rPr>
          <w:rFonts w:eastAsia="Calibri" w:cstheme="minorHAnsi"/>
          <w:sz w:val="20"/>
          <w:lang w:val="pl-PL"/>
        </w:rPr>
        <w:t xml:space="preserve"> najwyższego rzędu</w:t>
      </w:r>
      <w:r w:rsidR="0098693F">
        <w:rPr>
          <w:rFonts w:eastAsia="Calibri" w:cstheme="minorHAnsi"/>
          <w:sz w:val="20"/>
          <w:lang w:val="pl-PL"/>
        </w:rPr>
        <w:t xml:space="preserve"> (</w:t>
      </w:r>
      <w:r w:rsidR="009B1AF3">
        <w:rPr>
          <w:rFonts w:eastAsia="Calibri" w:cstheme="minorHAnsi"/>
          <w:sz w:val="20"/>
          <w:lang w:val="pl-PL"/>
        </w:rPr>
        <w:t xml:space="preserve">ustaw, </w:t>
      </w:r>
      <w:r w:rsidR="00043B07">
        <w:rPr>
          <w:rFonts w:eastAsia="Calibri" w:cstheme="minorHAnsi"/>
          <w:sz w:val="20"/>
          <w:lang w:val="pl-PL"/>
        </w:rPr>
        <w:t>rozporządzeń</w:t>
      </w:r>
      <w:r w:rsidR="009B1AF3">
        <w:rPr>
          <w:rFonts w:eastAsia="Calibri" w:cstheme="minorHAnsi"/>
          <w:sz w:val="20"/>
          <w:lang w:val="pl-PL"/>
        </w:rPr>
        <w:t xml:space="preserve"> i umów międzynarodowych</w:t>
      </w:r>
      <w:r w:rsidR="0098693F">
        <w:rPr>
          <w:rFonts w:eastAsia="Calibri" w:cstheme="minorHAnsi"/>
          <w:sz w:val="20"/>
          <w:lang w:val="pl-PL"/>
        </w:rPr>
        <w:t>)</w:t>
      </w:r>
      <w:r w:rsidR="00043B07">
        <w:rPr>
          <w:rFonts w:eastAsia="Calibri" w:cstheme="minorHAnsi"/>
          <w:sz w:val="20"/>
          <w:lang w:val="pl-PL"/>
        </w:rPr>
        <w:t>. J</w:t>
      </w:r>
      <w:r w:rsidR="00B23987">
        <w:rPr>
          <w:rFonts w:eastAsia="Calibri" w:cstheme="minorHAnsi"/>
          <w:sz w:val="20"/>
          <w:lang w:val="pl-PL"/>
        </w:rPr>
        <w:t>est</w:t>
      </w:r>
      <w:r w:rsidR="00043B07">
        <w:rPr>
          <w:rFonts w:eastAsia="Calibri" w:cstheme="minorHAnsi"/>
          <w:sz w:val="20"/>
          <w:lang w:val="pl-PL"/>
        </w:rPr>
        <w:t xml:space="preserve"> to</w:t>
      </w:r>
      <w:r w:rsidR="00B23987">
        <w:rPr>
          <w:rFonts w:eastAsia="Calibri" w:cstheme="minorHAnsi"/>
          <w:sz w:val="20"/>
          <w:lang w:val="pl-PL"/>
        </w:rPr>
        <w:t xml:space="preserve"> </w:t>
      </w:r>
      <w:r w:rsidR="00152D0A">
        <w:rPr>
          <w:rFonts w:eastAsia="Calibri" w:cstheme="minorHAnsi"/>
          <w:sz w:val="20"/>
          <w:lang w:val="pl-PL"/>
        </w:rPr>
        <w:t>wynik o 6,6 proc.</w:t>
      </w:r>
      <w:r w:rsidR="009B1AF3">
        <w:rPr>
          <w:rFonts w:eastAsia="Calibri" w:cstheme="minorHAnsi"/>
          <w:sz w:val="20"/>
          <w:lang w:val="pl-PL"/>
        </w:rPr>
        <w:t xml:space="preserve"> wyższy niż w</w:t>
      </w:r>
      <w:r w:rsidR="001260ED">
        <w:rPr>
          <w:rFonts w:eastAsia="Calibri" w:cstheme="minorHAnsi"/>
          <w:sz w:val="20"/>
          <w:lang w:val="pl-PL"/>
        </w:rPr>
        <w:t xml:space="preserve"> analogicznym o</w:t>
      </w:r>
      <w:r w:rsidR="009B1AF3">
        <w:rPr>
          <w:rFonts w:eastAsia="Calibri" w:cstheme="minorHAnsi"/>
          <w:sz w:val="20"/>
          <w:lang w:val="pl-PL"/>
        </w:rPr>
        <w:t>kresie</w:t>
      </w:r>
      <w:r w:rsidR="0098693F">
        <w:rPr>
          <w:rFonts w:eastAsia="Calibri" w:cstheme="minorHAnsi"/>
          <w:sz w:val="20"/>
          <w:lang w:val="pl-PL"/>
        </w:rPr>
        <w:t xml:space="preserve"> ubiegłego roku.</w:t>
      </w:r>
      <w:r w:rsidR="00152D0A">
        <w:rPr>
          <w:rFonts w:eastAsia="Calibri" w:cstheme="minorHAnsi"/>
          <w:sz w:val="20"/>
          <w:lang w:val="pl-PL"/>
        </w:rPr>
        <w:t xml:space="preserve"> </w:t>
      </w:r>
      <w:r w:rsidR="00185249">
        <w:rPr>
          <w:rFonts w:eastAsia="Calibri" w:cstheme="minorHAnsi"/>
          <w:sz w:val="20"/>
          <w:lang w:val="pl-PL"/>
        </w:rPr>
        <w:t>Ł</w:t>
      </w:r>
      <w:r w:rsidR="00152D0A">
        <w:rPr>
          <w:rFonts w:eastAsia="Calibri" w:cstheme="minorHAnsi"/>
          <w:sz w:val="20"/>
          <w:lang w:val="pl-PL"/>
        </w:rPr>
        <w:t>ącznie w trzech pierwszych</w:t>
      </w:r>
      <w:r w:rsidR="00185249">
        <w:rPr>
          <w:rFonts w:eastAsia="Calibri" w:cstheme="minorHAnsi"/>
          <w:sz w:val="20"/>
          <w:lang w:val="pl-PL"/>
        </w:rPr>
        <w:t xml:space="preserve"> kwartałach</w:t>
      </w:r>
      <w:r w:rsidR="00152D0A">
        <w:rPr>
          <w:rFonts w:eastAsia="Calibri" w:cstheme="minorHAnsi"/>
          <w:sz w:val="20"/>
          <w:lang w:val="pl-PL"/>
        </w:rPr>
        <w:t xml:space="preserve"> roku produkcja prawa w Polsce wyniosła 17 419 </w:t>
      </w:r>
      <w:r w:rsidR="006C02C9">
        <w:rPr>
          <w:rFonts w:eastAsia="Calibri" w:cstheme="minorHAnsi"/>
          <w:sz w:val="20"/>
          <w:lang w:val="pl-PL"/>
        </w:rPr>
        <w:t>stron – to również wzrost,</w:t>
      </w:r>
      <w:r w:rsidR="00152D0A">
        <w:rPr>
          <w:rFonts w:eastAsia="Calibri" w:cstheme="minorHAnsi"/>
          <w:sz w:val="20"/>
          <w:lang w:val="pl-PL"/>
        </w:rPr>
        <w:t xml:space="preserve"> o 5</w:t>
      </w:r>
      <w:r w:rsidR="006C02C9">
        <w:rPr>
          <w:rFonts w:eastAsia="Calibri" w:cstheme="minorHAnsi"/>
          <w:sz w:val="20"/>
          <w:lang w:val="pl-PL"/>
        </w:rPr>
        <w:t>,9 proc. rok do roku</w:t>
      </w:r>
      <w:r w:rsidR="00152D0A">
        <w:rPr>
          <w:rFonts w:eastAsia="Calibri" w:cstheme="minorHAnsi"/>
          <w:sz w:val="20"/>
          <w:lang w:val="pl-PL"/>
        </w:rPr>
        <w:t>.</w:t>
      </w:r>
      <w:r w:rsidR="00185249">
        <w:rPr>
          <w:rFonts w:eastAsia="Calibri" w:cstheme="minorHAnsi"/>
          <w:sz w:val="20"/>
          <w:lang w:val="pl-PL"/>
        </w:rPr>
        <w:t xml:space="preserve"> </w:t>
      </w:r>
      <w:r w:rsidR="00EF14FE">
        <w:rPr>
          <w:rFonts w:eastAsia="Calibri" w:cstheme="minorHAnsi"/>
          <w:sz w:val="20"/>
          <w:lang w:val="pl-PL"/>
        </w:rPr>
        <w:t xml:space="preserve">To zła wiadomość, ponieważ w dwóch </w:t>
      </w:r>
      <w:r w:rsidR="00EF14FE">
        <w:rPr>
          <w:rFonts w:eastAsia="Calibri" w:cstheme="minorHAnsi"/>
          <w:sz w:val="20"/>
          <w:lang w:val="pl-PL"/>
        </w:rPr>
        <w:lastRenderedPageBreak/>
        <w:t>ostatnich latach</w:t>
      </w:r>
      <w:r w:rsidR="00185249">
        <w:rPr>
          <w:rFonts w:eastAsia="Calibri" w:cstheme="minorHAnsi"/>
          <w:sz w:val="20"/>
          <w:lang w:val="pl-PL"/>
        </w:rPr>
        <w:t xml:space="preserve"> (2017 i 2018)</w:t>
      </w:r>
      <w:r w:rsidR="00EF14FE">
        <w:rPr>
          <w:rFonts w:eastAsia="Calibri" w:cstheme="minorHAnsi"/>
          <w:sz w:val="20"/>
          <w:lang w:val="pl-PL"/>
        </w:rPr>
        <w:t xml:space="preserve"> </w:t>
      </w:r>
      <w:r w:rsidR="00185249">
        <w:rPr>
          <w:rFonts w:eastAsia="Calibri" w:cstheme="minorHAnsi"/>
          <w:sz w:val="20"/>
          <w:lang w:val="pl-PL"/>
        </w:rPr>
        <w:t xml:space="preserve">liczba nowych aktów prawnych istotnie spadała i wszystko wskazuje na to, że w </w:t>
      </w:r>
      <w:r w:rsidR="004E3D60">
        <w:rPr>
          <w:rFonts w:eastAsia="Calibri"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33574C5C" wp14:editId="37192B7B">
            <wp:simplePos x="0" y="0"/>
            <wp:positionH relativeFrom="column">
              <wp:posOffset>-59055</wp:posOffset>
            </wp:positionH>
            <wp:positionV relativeFrom="paragraph">
              <wp:posOffset>440233</wp:posOffset>
            </wp:positionV>
            <wp:extent cx="660434" cy="615982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34" cy="61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9">
        <w:rPr>
          <w:rFonts w:eastAsia="Calibri" w:cstheme="minorHAnsi"/>
          <w:sz w:val="20"/>
          <w:lang w:val="pl-PL"/>
        </w:rPr>
        <w:t xml:space="preserve">2019 r. ta dobra seria zostanie </w:t>
      </w:r>
      <w:r w:rsidR="006C02C9">
        <w:rPr>
          <w:rFonts w:eastAsia="Calibri" w:cstheme="minorHAnsi"/>
          <w:sz w:val="20"/>
          <w:lang w:val="pl-PL"/>
        </w:rPr>
        <w:t>przerwana</w:t>
      </w:r>
      <w:r w:rsidR="00185249">
        <w:rPr>
          <w:rFonts w:eastAsia="Calibri" w:cstheme="minorHAnsi"/>
          <w:sz w:val="20"/>
          <w:lang w:val="pl-PL"/>
        </w:rPr>
        <w:t xml:space="preserve">. </w:t>
      </w:r>
    </w:p>
    <w:p w:rsidR="00410A95" w:rsidRDefault="00410A95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10A95" w:rsidRPr="000C0104" w:rsidRDefault="00C77402" w:rsidP="00410A95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i/>
          <w:noProof/>
          <w:sz w:val="20"/>
          <w:lang w:val="pl-PL" w:eastAsia="pl-PL"/>
        </w:rPr>
        <w:t>Poprzednie</w:t>
      </w:r>
      <w:r w:rsidR="00410A95">
        <w:rPr>
          <w:rFonts w:eastAsia="Calibri" w:cstheme="minorHAnsi"/>
          <w:i/>
          <w:noProof/>
          <w:sz w:val="20"/>
          <w:lang w:val="pl-PL" w:eastAsia="pl-PL"/>
        </w:rPr>
        <w:t xml:space="preserve"> dwa lata przyzwyczaiły nas do dobrych wiadomości. Większość kwartałów roku 2017 i 2018 przynosiło spadki produkcji praw</w:t>
      </w:r>
      <w:r w:rsidR="009E4066">
        <w:rPr>
          <w:rFonts w:eastAsia="Calibri" w:cstheme="minorHAnsi"/>
          <w:i/>
          <w:noProof/>
          <w:sz w:val="20"/>
          <w:lang w:val="pl-PL" w:eastAsia="pl-PL"/>
        </w:rPr>
        <w:t>a</w:t>
      </w:r>
      <w:r w:rsidR="006C02C9">
        <w:rPr>
          <w:rFonts w:eastAsia="Calibri" w:cstheme="minorHAnsi"/>
          <w:i/>
          <w:noProof/>
          <w:sz w:val="20"/>
          <w:lang w:val="pl-PL" w:eastAsia="pl-PL"/>
        </w:rPr>
        <w:t xml:space="preserve"> w ujęciu rocznym</w:t>
      </w:r>
      <w:r w:rsidR="00410A95">
        <w:rPr>
          <w:rFonts w:eastAsia="Calibri" w:cstheme="minorHAnsi"/>
          <w:i/>
          <w:noProof/>
          <w:sz w:val="20"/>
          <w:lang w:val="pl-PL" w:eastAsia="pl-PL"/>
        </w:rPr>
        <w:t xml:space="preserve"> i zaczęliśmy mieć nadzieję, że</w:t>
      </w:r>
      <w:r w:rsidR="009E4066">
        <w:rPr>
          <w:rFonts w:eastAsia="Calibri" w:cstheme="minorHAnsi"/>
          <w:i/>
          <w:noProof/>
          <w:sz w:val="20"/>
          <w:lang w:val="pl-PL" w:eastAsia="pl-PL"/>
        </w:rPr>
        <w:t xml:space="preserve"> ta zmiana jest trwała</w:t>
      </w:r>
      <w:r w:rsidR="006C02C9">
        <w:rPr>
          <w:rFonts w:eastAsia="Calibri" w:cstheme="minorHAnsi"/>
          <w:i/>
          <w:noProof/>
          <w:sz w:val="20"/>
          <w:lang w:val="pl-PL" w:eastAsia="pl-PL"/>
        </w:rPr>
        <w:t>, dzięki czemu</w:t>
      </w:r>
      <w:r w:rsidR="00DD5DC9">
        <w:rPr>
          <w:rFonts w:eastAsia="Calibri" w:cstheme="minorHAnsi"/>
          <w:i/>
          <w:noProof/>
          <w:sz w:val="20"/>
          <w:lang w:val="pl-PL" w:eastAsia="pl-PL"/>
        </w:rPr>
        <w:t xml:space="preserve"> w ciągu k</w:t>
      </w:r>
      <w:r w:rsidR="00F639C6">
        <w:rPr>
          <w:rFonts w:eastAsia="Calibri" w:cstheme="minorHAnsi"/>
          <w:i/>
          <w:noProof/>
          <w:sz w:val="20"/>
          <w:lang w:val="pl-PL" w:eastAsia="pl-PL"/>
        </w:rPr>
        <w:t>ilku lat być</w:t>
      </w:r>
      <w:r w:rsidR="004E3D60">
        <w:rPr>
          <w:rFonts w:eastAsia="Calibri" w:cstheme="minorHAnsi"/>
          <w:i/>
          <w:noProof/>
          <w:sz w:val="20"/>
          <w:lang w:val="pl-PL" w:eastAsia="pl-PL"/>
        </w:rPr>
        <w:t xml:space="preserve"> może do</w:t>
      </w:r>
      <w:r w:rsidR="004E3D60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>znamy faktycznej, zauważ</w:t>
      </w:r>
      <w:r w:rsidR="00F639C6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>alnej stabilizacji otoczenia prawnego</w:t>
      </w:r>
      <w:r w:rsidR="00410A95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>. Nie</w:t>
      </w:r>
      <w:r w:rsidR="009E4066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>stety ostatnie kwartały</w:t>
      </w:r>
      <w:r w:rsidR="004D4905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 xml:space="preserve"> osłabiają tę nadzieję</w:t>
      </w:r>
      <w:r w:rsidR="00410A95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 xml:space="preserve">. </w:t>
      </w:r>
      <w:r w:rsidR="00DD5DC9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>W</w:t>
      </w:r>
      <w:r w:rsidR="009E4066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>zrost produkcji prawa powrócił</w:t>
      </w:r>
      <w:r w:rsidR="00F639C6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 xml:space="preserve"> i </w:t>
      </w:r>
      <w:r w:rsidR="006C02C9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>wszystko wskazuje na to, że</w:t>
      </w:r>
      <w:r w:rsidR="00F639C6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 xml:space="preserve"> rok 2019 będzie</w:t>
      </w:r>
      <w:r w:rsidR="007A1C0B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 xml:space="preserve"> </w:t>
      </w:r>
      <w:r w:rsidR="004D4905" w:rsidRPr="004D4905">
        <w:rPr>
          <w:rFonts w:eastAsia="Calibri" w:cstheme="minorHAnsi"/>
          <w:i/>
          <w:noProof/>
          <w:color w:val="auto"/>
          <w:sz w:val="20"/>
          <w:lang w:val="pl-PL" w:eastAsia="pl-PL"/>
        </w:rPr>
        <w:t>czwartym</w:t>
      </w:r>
      <w:r w:rsidR="00FF1AF3">
        <w:rPr>
          <w:rFonts w:eastAsia="Calibri" w:cstheme="minorHAnsi"/>
          <w:i/>
          <w:noProof/>
          <w:color w:val="auto"/>
          <w:sz w:val="20"/>
          <w:lang w:val="pl-PL" w:eastAsia="pl-PL"/>
        </w:rPr>
        <w:t xml:space="preserve"> pod względem zmienności przepisów </w:t>
      </w:r>
      <w:r w:rsidR="00FF1AF3">
        <w:rPr>
          <w:rFonts w:eastAsia="Calibri" w:cstheme="minorHAnsi"/>
          <w:i/>
          <w:noProof/>
          <w:sz w:val="20"/>
          <w:lang w:val="pl-PL" w:eastAsia="pl-PL"/>
        </w:rPr>
        <w:t xml:space="preserve">rokiem </w:t>
      </w:r>
      <w:r w:rsidR="00F639C6">
        <w:rPr>
          <w:rFonts w:eastAsia="Calibri" w:cstheme="minorHAnsi"/>
          <w:i/>
          <w:noProof/>
          <w:sz w:val="20"/>
          <w:lang w:val="pl-PL" w:eastAsia="pl-PL"/>
        </w:rPr>
        <w:t>w historii</w:t>
      </w:r>
      <w:r w:rsidR="00B01A7F">
        <w:rPr>
          <w:rFonts w:eastAsia="Calibri" w:cstheme="minorHAnsi"/>
          <w:i/>
          <w:noProof/>
          <w:sz w:val="20"/>
          <w:lang w:val="pl-PL" w:eastAsia="pl-PL"/>
        </w:rPr>
        <w:t xml:space="preserve"> </w:t>
      </w:r>
      <w:r w:rsidR="00410A95">
        <w:rPr>
          <w:rFonts w:eastAsia="Calibri" w:cstheme="minorHAnsi"/>
          <w:sz w:val="20"/>
          <w:lang w:val="pl-PL"/>
        </w:rPr>
        <w:t xml:space="preserve">– komentuje </w:t>
      </w:r>
      <w:r w:rsidR="00410A95">
        <w:rPr>
          <w:rFonts w:eastAsia="Calibri" w:cstheme="minorHAnsi"/>
          <w:b/>
          <w:sz w:val="20"/>
          <w:lang w:val="pl-PL"/>
        </w:rPr>
        <w:t>Tomasz Wróblewski</w:t>
      </w:r>
      <w:r w:rsidR="00410A95">
        <w:rPr>
          <w:rFonts w:eastAsia="Calibri" w:cstheme="minorHAnsi"/>
          <w:sz w:val="20"/>
          <w:lang w:val="pl-PL"/>
        </w:rPr>
        <w:t xml:space="preserve">, Partner Zarządzający Grant Thornton. </w:t>
      </w:r>
    </w:p>
    <w:p w:rsidR="00367A05" w:rsidRPr="00043B07" w:rsidRDefault="00367A05" w:rsidP="00D8712F">
      <w:pPr>
        <w:pStyle w:val="Tekstpodstawowy"/>
        <w:spacing w:after="0" w:line="360" w:lineRule="auto"/>
        <w:rPr>
          <w:rFonts w:eastAsia="Calibri" w:cstheme="minorHAnsi"/>
          <w:b/>
          <w:sz w:val="20"/>
          <w:lang w:val="pl-PL"/>
        </w:rPr>
      </w:pPr>
    </w:p>
    <w:p w:rsidR="000C0104" w:rsidRDefault="0098693F" w:rsidP="00D8712F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b/>
          <w:color w:val="4F2D7F"/>
          <w:sz w:val="20"/>
          <w:lang w:val="pl-PL"/>
        </w:rPr>
        <w:t xml:space="preserve">Jeśli </w:t>
      </w:r>
      <w:r w:rsidR="003A40B6">
        <w:rPr>
          <w:rFonts w:eastAsia="Calibri" w:cstheme="minorHAnsi"/>
          <w:b/>
          <w:color w:val="4F2D7F"/>
          <w:sz w:val="20"/>
          <w:lang w:val="pl-PL"/>
        </w:rPr>
        <w:t>przyjąć teoretyczne założenie</w:t>
      </w:r>
      <w:r w:rsidR="00F639C6">
        <w:rPr>
          <w:rFonts w:eastAsia="Calibri" w:cstheme="minorHAnsi"/>
          <w:b/>
          <w:color w:val="4F2D7F"/>
          <w:sz w:val="20"/>
          <w:lang w:val="pl-PL"/>
        </w:rPr>
        <w:t>, że dynamika wzrostu o 5,9</w:t>
      </w:r>
      <w:r w:rsidR="00EF14FE">
        <w:rPr>
          <w:rFonts w:eastAsia="Calibri" w:cstheme="minorHAnsi"/>
          <w:b/>
          <w:color w:val="4F2D7F"/>
          <w:sz w:val="20"/>
          <w:lang w:val="pl-PL"/>
        </w:rPr>
        <w:t xml:space="preserve"> proc.</w:t>
      </w:r>
      <w:r w:rsidR="00367A05">
        <w:rPr>
          <w:rFonts w:eastAsia="Calibri" w:cstheme="minorHAnsi"/>
          <w:b/>
          <w:color w:val="4F2D7F"/>
          <w:sz w:val="20"/>
          <w:lang w:val="pl-PL"/>
        </w:rPr>
        <w:t xml:space="preserve"> utrzyma si</w:t>
      </w:r>
      <w:r w:rsidR="00F639C6">
        <w:rPr>
          <w:rFonts w:eastAsia="Calibri" w:cstheme="minorHAnsi"/>
          <w:b/>
          <w:color w:val="4F2D7F"/>
          <w:sz w:val="20"/>
          <w:lang w:val="pl-PL"/>
        </w:rPr>
        <w:t>ę w czwartym kwartale</w:t>
      </w:r>
      <w:r w:rsidR="00EF14FE">
        <w:rPr>
          <w:rFonts w:eastAsia="Calibri" w:cstheme="minorHAnsi"/>
          <w:b/>
          <w:color w:val="4F2D7F"/>
          <w:sz w:val="20"/>
          <w:lang w:val="pl-PL"/>
        </w:rPr>
        <w:t xml:space="preserve">, to w całym 2019 </w:t>
      </w:r>
      <w:r w:rsidR="00C0032B">
        <w:rPr>
          <w:rFonts w:eastAsia="Calibri" w:cstheme="minorHAnsi"/>
          <w:b/>
          <w:color w:val="4F2D7F"/>
          <w:sz w:val="20"/>
          <w:lang w:val="pl-PL"/>
        </w:rPr>
        <w:t xml:space="preserve">roku </w:t>
      </w:r>
      <w:r w:rsidR="00F639C6">
        <w:rPr>
          <w:rFonts w:eastAsia="Calibri" w:cstheme="minorHAnsi"/>
          <w:b/>
          <w:color w:val="4F2D7F"/>
          <w:sz w:val="20"/>
          <w:lang w:val="pl-PL"/>
        </w:rPr>
        <w:t xml:space="preserve">przyjętych zostałoby </w:t>
      </w:r>
      <w:r w:rsidR="00E30AB7">
        <w:rPr>
          <w:rFonts w:eastAsia="Calibri" w:cstheme="minorHAnsi"/>
          <w:b/>
          <w:color w:val="4F2D7F"/>
          <w:sz w:val="20"/>
          <w:lang w:val="pl-PL"/>
        </w:rPr>
        <w:t>21 524</w:t>
      </w:r>
      <w:r w:rsidR="00DA5B3C">
        <w:rPr>
          <w:rFonts w:eastAsia="Calibri" w:cstheme="minorHAnsi"/>
          <w:b/>
          <w:color w:val="4F2D7F"/>
          <w:sz w:val="20"/>
          <w:lang w:val="pl-PL"/>
        </w:rPr>
        <w:t xml:space="preserve"> stron maszynopisu aktów prawny</w:t>
      </w:r>
      <w:r>
        <w:rPr>
          <w:rFonts w:eastAsia="Calibri" w:cstheme="minorHAnsi"/>
          <w:b/>
          <w:color w:val="4F2D7F"/>
          <w:sz w:val="20"/>
          <w:lang w:val="pl-PL"/>
        </w:rPr>
        <w:t>ch</w:t>
      </w:r>
      <w:r w:rsidR="00E30AB7">
        <w:rPr>
          <w:rFonts w:eastAsia="Calibri" w:cstheme="minorHAnsi"/>
          <w:b/>
          <w:color w:val="4F2D7F"/>
          <w:sz w:val="20"/>
          <w:lang w:val="pl-PL"/>
        </w:rPr>
        <w:t>, czyli o 1199</w:t>
      </w:r>
      <w:r w:rsidR="00EF14FE">
        <w:rPr>
          <w:rFonts w:eastAsia="Calibri" w:cstheme="minorHAnsi"/>
          <w:b/>
          <w:color w:val="4F2D7F"/>
          <w:sz w:val="20"/>
          <w:lang w:val="pl-PL"/>
        </w:rPr>
        <w:t xml:space="preserve"> stron więcej niż w 2018 r</w:t>
      </w:r>
      <w:r>
        <w:rPr>
          <w:rFonts w:eastAsia="Calibri" w:cstheme="minorHAnsi"/>
          <w:b/>
          <w:color w:val="4F2D7F"/>
          <w:sz w:val="20"/>
          <w:lang w:val="pl-PL"/>
        </w:rPr>
        <w:t>. Oznaczałoby to,</w:t>
      </w:r>
      <w:r w:rsidR="00E30AB7">
        <w:rPr>
          <w:rFonts w:eastAsia="Calibri" w:cstheme="minorHAnsi"/>
          <w:b/>
          <w:color w:val="4F2D7F"/>
          <w:sz w:val="20"/>
          <w:lang w:val="pl-PL"/>
        </w:rPr>
        <w:t xml:space="preserve"> że produkcja prawa</w:t>
      </w:r>
      <w:r w:rsidR="00506CA4">
        <w:rPr>
          <w:rFonts w:eastAsia="Calibri" w:cstheme="minorHAnsi"/>
          <w:b/>
          <w:color w:val="4F2D7F"/>
          <w:sz w:val="20"/>
          <w:lang w:val="pl-PL"/>
        </w:rPr>
        <w:t xml:space="preserve"> </w:t>
      </w:r>
      <w:r w:rsidR="00E30AB7">
        <w:rPr>
          <w:rFonts w:eastAsia="Calibri" w:cstheme="minorHAnsi"/>
          <w:b/>
          <w:color w:val="4F2D7F"/>
          <w:sz w:val="20"/>
          <w:lang w:val="pl-PL"/>
        </w:rPr>
        <w:t>utrzyma</w:t>
      </w:r>
      <w:r w:rsidR="00C0032B">
        <w:rPr>
          <w:rFonts w:eastAsia="Calibri" w:cstheme="minorHAnsi"/>
          <w:b/>
          <w:color w:val="4F2D7F"/>
          <w:sz w:val="20"/>
          <w:lang w:val="pl-PL"/>
        </w:rPr>
        <w:t xml:space="preserve"> się na poziomie zbliżonym do średniej z lat </w:t>
      </w:r>
      <w:r w:rsidR="00D15A50">
        <w:rPr>
          <w:rFonts w:eastAsia="Calibri" w:cstheme="minorHAnsi"/>
          <w:b/>
          <w:color w:val="4F2D7F"/>
          <w:sz w:val="20"/>
          <w:lang w:val="pl-PL"/>
        </w:rPr>
        <w:t>2012-2018</w:t>
      </w:r>
      <w:r w:rsidR="00E30AB7">
        <w:rPr>
          <w:rFonts w:eastAsia="Calibri" w:cstheme="minorHAnsi"/>
          <w:b/>
          <w:color w:val="4F2D7F"/>
          <w:sz w:val="20"/>
          <w:lang w:val="pl-PL"/>
        </w:rPr>
        <w:t>, a więc do okresu wzmożonej zmienności otoczenia prawnego</w:t>
      </w:r>
      <w:r w:rsidR="00506CA4">
        <w:rPr>
          <w:rFonts w:eastAsia="Calibri" w:cstheme="minorHAnsi"/>
          <w:b/>
          <w:color w:val="4F2D7F"/>
          <w:sz w:val="20"/>
          <w:lang w:val="pl-PL"/>
        </w:rPr>
        <w:t>.</w:t>
      </w:r>
      <w:r w:rsidR="00CD6259">
        <w:rPr>
          <w:rFonts w:eastAsia="Calibri" w:cstheme="minorHAnsi"/>
          <w:b/>
          <w:color w:val="4F2D7F"/>
          <w:sz w:val="20"/>
          <w:lang w:val="pl-PL"/>
        </w:rPr>
        <w:t xml:space="preserve"> </w:t>
      </w:r>
    </w:p>
    <w:p w:rsidR="00D8712F" w:rsidRDefault="00DA5B3C" w:rsidP="00D8712F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b/>
          <w:color w:val="4F2D7F"/>
          <w:sz w:val="20"/>
          <w:lang w:val="pl-PL"/>
        </w:rPr>
        <w:t xml:space="preserve"> </w:t>
      </w:r>
    </w:p>
    <w:p w:rsidR="005678AB" w:rsidRPr="005678AB" w:rsidRDefault="005678AB" w:rsidP="00D8712F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</w:p>
    <w:p w:rsidR="00E94767" w:rsidRDefault="00E94767" w:rsidP="00D8712F">
      <w:pPr>
        <w:pStyle w:val="Tekstpodstawowy"/>
        <w:spacing w:after="0" w:line="360" w:lineRule="auto"/>
        <w:rPr>
          <w:b/>
          <w:sz w:val="20"/>
          <w:lang w:val="pl-PL"/>
        </w:rPr>
      </w:pPr>
      <w:r w:rsidRPr="003A40B6">
        <w:rPr>
          <w:b/>
          <w:sz w:val="20"/>
          <w:lang w:val="pl-PL"/>
        </w:rPr>
        <w:t>Wykres. Liczba stron aktów prawnych, które ukazały się w Dzienniku Ustaw w poszczególnych latach</w:t>
      </w:r>
    </w:p>
    <w:p w:rsidR="00E94767" w:rsidRDefault="00E30AB7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8E8F71F" wp14:editId="6A250F55">
            <wp:extent cx="6401435" cy="348935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712F" w:rsidRPr="0071541C" w:rsidRDefault="00D8712F" w:rsidP="00D8712F">
      <w:pPr>
        <w:pStyle w:val="Tekstpodstawowy"/>
        <w:spacing w:after="0" w:line="360" w:lineRule="auto"/>
        <w:rPr>
          <w:sz w:val="14"/>
          <w:lang w:val="pl-PL"/>
        </w:rPr>
      </w:pPr>
    </w:p>
    <w:p w:rsidR="00D8712F" w:rsidRPr="00E30AB7" w:rsidRDefault="00E94767" w:rsidP="00D067EF">
      <w:pPr>
        <w:pStyle w:val="Tekstpodstawowy"/>
        <w:spacing w:after="0" w:line="360" w:lineRule="auto"/>
        <w:rPr>
          <w:sz w:val="14"/>
          <w:szCs w:val="14"/>
          <w:lang w:val="pl-PL"/>
        </w:rPr>
      </w:pPr>
      <w:r w:rsidRPr="00E30AB7">
        <w:rPr>
          <w:sz w:val="14"/>
          <w:lang w:val="pl-PL"/>
        </w:rPr>
        <w:t>*Liczba stron</w:t>
      </w:r>
      <w:r w:rsidR="00C03998" w:rsidRPr="00E30AB7">
        <w:rPr>
          <w:sz w:val="14"/>
          <w:lang w:val="pl-PL"/>
        </w:rPr>
        <w:t xml:space="preserve"> aktów prawnych za cały rok 2019</w:t>
      </w:r>
      <w:r w:rsidRPr="00E30AB7">
        <w:rPr>
          <w:sz w:val="14"/>
          <w:lang w:val="pl-PL"/>
        </w:rPr>
        <w:t xml:space="preserve">, skalkulowana przy założeniu, że w całym </w:t>
      </w:r>
      <w:r w:rsidR="007B4C13" w:rsidRPr="00E30AB7">
        <w:rPr>
          <w:sz w:val="14"/>
          <w:lang w:val="pl-PL"/>
        </w:rPr>
        <w:t>roku</w:t>
      </w:r>
      <w:r w:rsidRPr="00E30AB7">
        <w:rPr>
          <w:sz w:val="14"/>
          <w:lang w:val="pl-PL"/>
        </w:rPr>
        <w:t xml:space="preserve"> utrzymana zostanie dynamika odno</w:t>
      </w:r>
      <w:r w:rsidR="007B4C13" w:rsidRPr="00E30AB7">
        <w:rPr>
          <w:sz w:val="14"/>
          <w:lang w:val="pl-PL"/>
        </w:rPr>
        <w:t xml:space="preserve">towana w </w:t>
      </w:r>
      <w:r w:rsidR="005678AB">
        <w:rPr>
          <w:sz w:val="14"/>
          <w:lang w:val="pl-PL"/>
        </w:rPr>
        <w:t xml:space="preserve">trzech pierwszych kwartałach </w:t>
      </w:r>
      <w:r w:rsidR="00AA694E" w:rsidRPr="00E30AB7">
        <w:rPr>
          <w:sz w:val="14"/>
          <w:szCs w:val="14"/>
          <w:lang w:val="pl-PL"/>
        </w:rPr>
        <w:t>2019 r., czyli</w:t>
      </w:r>
      <w:r w:rsidR="00E30AB7" w:rsidRPr="00E30AB7">
        <w:rPr>
          <w:sz w:val="14"/>
          <w:szCs w:val="14"/>
          <w:lang w:val="pl-PL"/>
        </w:rPr>
        <w:t xml:space="preserve"> 5,9</w:t>
      </w:r>
      <w:r w:rsidRPr="00E30AB7">
        <w:rPr>
          <w:sz w:val="14"/>
          <w:szCs w:val="14"/>
          <w:lang w:val="pl-PL"/>
        </w:rPr>
        <w:t xml:space="preserve"> proc. rok do roku.</w:t>
      </w:r>
    </w:p>
    <w:p w:rsidR="00E94767" w:rsidRPr="00E30AB7" w:rsidRDefault="00E94767" w:rsidP="00DD2D6F">
      <w:pPr>
        <w:pStyle w:val="Tekstpodstawowy"/>
        <w:spacing w:after="0" w:line="360" w:lineRule="auto"/>
        <w:rPr>
          <w:sz w:val="14"/>
          <w:szCs w:val="14"/>
          <w:lang w:val="pl-PL"/>
        </w:rPr>
      </w:pPr>
      <w:r w:rsidRPr="00E30AB7">
        <w:rPr>
          <w:sz w:val="14"/>
          <w:szCs w:val="14"/>
          <w:lang w:val="pl-PL"/>
        </w:rPr>
        <w:t>Źródło: Opracowanie własne Grant Thornton na podstawie Dziennika Ustaw</w:t>
      </w:r>
    </w:p>
    <w:p w:rsidR="007D6C93" w:rsidRPr="00BD000B" w:rsidRDefault="007D6C93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136673" w:rsidRDefault="004E5FFB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lastRenderedPageBreak/>
        <w:t>Choć produkcja prawa jest obecnie o blisko 40 proc. niższa niż w rekordowym 2016 r.,</w:t>
      </w:r>
      <w:r w:rsidR="00D067EF">
        <w:rPr>
          <w:sz w:val="20"/>
          <w:lang w:val="pl-PL"/>
        </w:rPr>
        <w:t xml:space="preserve"> z punktu widzenia polskich przedsiębiorstw i obywateli</w:t>
      </w:r>
      <w:r>
        <w:rPr>
          <w:sz w:val="20"/>
          <w:lang w:val="pl-PL"/>
        </w:rPr>
        <w:t xml:space="preserve"> nadal</w:t>
      </w:r>
      <w:r w:rsidR="00CA7159">
        <w:rPr>
          <w:sz w:val="20"/>
          <w:lang w:val="pl-PL"/>
        </w:rPr>
        <w:t xml:space="preserve"> jest </w:t>
      </w:r>
      <w:r w:rsidR="00D067EF">
        <w:rPr>
          <w:sz w:val="20"/>
          <w:lang w:val="pl-PL"/>
        </w:rPr>
        <w:t>bardzo duża</w:t>
      </w:r>
      <w:r w:rsidR="001E511F">
        <w:rPr>
          <w:sz w:val="20"/>
          <w:lang w:val="pl-PL"/>
        </w:rPr>
        <w:t>.</w:t>
      </w:r>
      <w:r w:rsidR="00C227DC">
        <w:rPr>
          <w:sz w:val="20"/>
          <w:lang w:val="pl-PL"/>
        </w:rPr>
        <w:t xml:space="preserve"> </w:t>
      </w:r>
      <w:r>
        <w:rPr>
          <w:sz w:val="20"/>
          <w:lang w:val="pl-PL"/>
        </w:rPr>
        <w:t>Jeśli chcieli</w:t>
      </w:r>
      <w:r w:rsidR="00C0206F">
        <w:rPr>
          <w:sz w:val="20"/>
          <w:lang w:val="pl-PL"/>
        </w:rPr>
        <w:t>by</w:t>
      </w:r>
      <w:r>
        <w:rPr>
          <w:sz w:val="20"/>
          <w:lang w:val="pl-PL"/>
        </w:rPr>
        <w:t xml:space="preserve"> oni</w:t>
      </w:r>
      <w:r w:rsidR="00C0206F">
        <w:rPr>
          <w:sz w:val="20"/>
          <w:lang w:val="pl-PL"/>
        </w:rPr>
        <w:t xml:space="preserve"> przeczytać wszystkie publikowane nowe akty prawne najwyższego rzędu, to w</w:t>
      </w:r>
      <w:r>
        <w:rPr>
          <w:sz w:val="20"/>
          <w:lang w:val="pl-PL"/>
        </w:rPr>
        <w:t xml:space="preserve"> trzech pierwszych kwartałach</w:t>
      </w:r>
      <w:r w:rsidR="00D067EF">
        <w:rPr>
          <w:sz w:val="20"/>
          <w:lang w:val="pl-PL"/>
        </w:rPr>
        <w:t xml:space="preserve"> 2019</w:t>
      </w:r>
      <w:r w:rsidR="00125D84">
        <w:rPr>
          <w:sz w:val="20"/>
          <w:lang w:val="pl-PL"/>
        </w:rPr>
        <w:t xml:space="preserve"> r.</w:t>
      </w:r>
      <w:r>
        <w:rPr>
          <w:sz w:val="20"/>
          <w:lang w:val="pl-PL"/>
        </w:rPr>
        <w:t xml:space="preserve"> mieliby</w:t>
      </w:r>
      <w:r w:rsidR="00C0206F">
        <w:rPr>
          <w:sz w:val="20"/>
          <w:lang w:val="pl-PL"/>
        </w:rPr>
        <w:t xml:space="preserve"> do przeczytania </w:t>
      </w:r>
      <w:r w:rsidR="001F547C">
        <w:rPr>
          <w:sz w:val="20"/>
          <w:lang w:val="pl-PL"/>
        </w:rPr>
        <w:t>92</w:t>
      </w:r>
      <w:r w:rsidR="00DE6A98">
        <w:rPr>
          <w:sz w:val="20"/>
          <w:lang w:val="pl-PL"/>
        </w:rPr>
        <w:t xml:space="preserve"> stron</w:t>
      </w:r>
      <w:r w:rsidR="001F547C">
        <w:rPr>
          <w:sz w:val="20"/>
          <w:lang w:val="pl-PL"/>
        </w:rPr>
        <w:t>y</w:t>
      </w:r>
      <w:r w:rsidR="00DE6A98">
        <w:rPr>
          <w:sz w:val="20"/>
          <w:lang w:val="pl-PL"/>
        </w:rPr>
        <w:t xml:space="preserve"> każdego dnia roboczego</w:t>
      </w:r>
      <w:r w:rsidR="00CA7159">
        <w:rPr>
          <w:sz w:val="20"/>
          <w:lang w:val="pl-PL"/>
        </w:rPr>
        <w:t xml:space="preserve"> i musieliby na to poświęcić </w:t>
      </w:r>
      <w:r w:rsidR="00DE6A98">
        <w:rPr>
          <w:sz w:val="20"/>
          <w:lang w:val="pl-PL"/>
        </w:rPr>
        <w:t>średnio</w:t>
      </w:r>
      <w:r w:rsidR="001F547C">
        <w:rPr>
          <w:sz w:val="20"/>
          <w:lang w:val="pl-PL"/>
        </w:rPr>
        <w:t xml:space="preserve"> co najmniej 3 godziny i 4</w:t>
      </w:r>
      <w:r w:rsidR="00DE6A98">
        <w:rPr>
          <w:sz w:val="20"/>
          <w:lang w:val="pl-PL"/>
        </w:rPr>
        <w:t xml:space="preserve"> minut</w:t>
      </w:r>
      <w:r w:rsidR="001F547C">
        <w:rPr>
          <w:sz w:val="20"/>
          <w:lang w:val="pl-PL"/>
        </w:rPr>
        <w:t>y</w:t>
      </w:r>
      <w:r w:rsidR="00CA7159">
        <w:rPr>
          <w:sz w:val="20"/>
          <w:lang w:val="pl-PL"/>
        </w:rPr>
        <w:t xml:space="preserve"> dziennie</w:t>
      </w:r>
      <w:r w:rsidR="00DE6A98">
        <w:rPr>
          <w:sz w:val="20"/>
          <w:lang w:val="pl-PL"/>
        </w:rPr>
        <w:t xml:space="preserve"> </w:t>
      </w:r>
      <w:r w:rsidR="00125D84">
        <w:rPr>
          <w:sz w:val="20"/>
          <w:lang w:val="pl-PL"/>
        </w:rPr>
        <w:t>(przy konserwatywnym założeniu, że na jedną stronę potrzeba średnio 2 minut)</w:t>
      </w:r>
      <w:r w:rsidR="000B057D">
        <w:rPr>
          <w:sz w:val="20"/>
          <w:lang w:val="pl-PL"/>
        </w:rPr>
        <w:t xml:space="preserve">. </w:t>
      </w:r>
      <w:r w:rsidR="00DE6A98">
        <w:rPr>
          <w:sz w:val="20"/>
          <w:lang w:val="pl-PL"/>
        </w:rPr>
        <w:t>Warto mieć świadomość, że byłby to jednak nadal zaledwie wstęp do pełnego zrozumienia wchodzących w życie zmian</w:t>
      </w:r>
      <w:r w:rsidR="00CA7159">
        <w:rPr>
          <w:sz w:val="20"/>
          <w:lang w:val="pl-PL"/>
        </w:rPr>
        <w:t xml:space="preserve"> w prawie</w:t>
      </w:r>
      <w:r w:rsidR="00DE6A98">
        <w:rPr>
          <w:sz w:val="20"/>
          <w:lang w:val="pl-PL"/>
        </w:rPr>
        <w:t xml:space="preserve"> </w:t>
      </w:r>
      <w:r w:rsidR="003F54DC">
        <w:rPr>
          <w:sz w:val="20"/>
          <w:lang w:val="pl-PL"/>
        </w:rPr>
        <w:t>–</w:t>
      </w:r>
      <w:r w:rsidR="00DE6A98">
        <w:rPr>
          <w:sz w:val="20"/>
          <w:lang w:val="pl-PL"/>
        </w:rPr>
        <w:t xml:space="preserve"> </w:t>
      </w:r>
      <w:r w:rsidR="003F54DC">
        <w:rPr>
          <w:sz w:val="20"/>
          <w:lang w:val="pl-PL"/>
        </w:rPr>
        <w:t>zdecydowana większość publikow</w:t>
      </w:r>
      <w:r w:rsidR="00CA7159">
        <w:rPr>
          <w:sz w:val="20"/>
          <w:lang w:val="pl-PL"/>
        </w:rPr>
        <w:t xml:space="preserve">anych ustaw i </w:t>
      </w:r>
      <w:r w:rsidR="003F54DC">
        <w:rPr>
          <w:sz w:val="20"/>
          <w:lang w:val="pl-PL"/>
        </w:rPr>
        <w:t>rozporządzeń to now</w:t>
      </w:r>
      <w:r w:rsidR="00CA7159">
        <w:rPr>
          <w:sz w:val="20"/>
          <w:lang w:val="pl-PL"/>
        </w:rPr>
        <w:t xml:space="preserve">elizacje starych </w:t>
      </w:r>
      <w:r w:rsidR="000C0104">
        <w:rPr>
          <w:sz w:val="20"/>
          <w:lang w:val="pl-PL"/>
        </w:rPr>
        <w:t>aktów prawnych</w:t>
      </w:r>
      <w:r w:rsidR="003F54DC">
        <w:rPr>
          <w:sz w:val="20"/>
          <w:lang w:val="pl-PL"/>
        </w:rPr>
        <w:t>, a więc zawierają</w:t>
      </w:r>
      <w:r w:rsidR="001F547C">
        <w:rPr>
          <w:sz w:val="20"/>
          <w:lang w:val="pl-PL"/>
        </w:rPr>
        <w:t xml:space="preserve"> one</w:t>
      </w:r>
      <w:r w:rsidR="003F54DC">
        <w:rPr>
          <w:sz w:val="20"/>
          <w:lang w:val="pl-PL"/>
        </w:rPr>
        <w:t xml:space="preserve"> jedynie nieczytelne, wyrwane z kontekstu zdania czy akapity. Aby po</w:t>
      </w:r>
      <w:r w:rsidR="00CA7159">
        <w:rPr>
          <w:sz w:val="20"/>
          <w:lang w:val="pl-PL"/>
        </w:rPr>
        <w:t>znać ich sens, należy odnieść nowe akty prawne</w:t>
      </w:r>
      <w:r w:rsidR="003F54DC">
        <w:rPr>
          <w:sz w:val="20"/>
          <w:lang w:val="pl-PL"/>
        </w:rPr>
        <w:t xml:space="preserve"> do tekstów źródłowych, a to oznaczałoby </w:t>
      </w:r>
      <w:r w:rsidR="000C0104">
        <w:rPr>
          <w:sz w:val="20"/>
          <w:lang w:val="pl-PL"/>
        </w:rPr>
        <w:t>konieczność analizy</w:t>
      </w:r>
      <w:r w:rsidR="003F54DC">
        <w:rPr>
          <w:sz w:val="20"/>
          <w:lang w:val="pl-PL"/>
        </w:rPr>
        <w:t xml:space="preserve"> wielokrotnie więks</w:t>
      </w:r>
      <w:r w:rsidR="001F586C">
        <w:rPr>
          <w:sz w:val="20"/>
          <w:lang w:val="pl-PL"/>
        </w:rPr>
        <w:t>zej liczby stron przepisów</w:t>
      </w:r>
      <w:r w:rsidR="003F54DC">
        <w:rPr>
          <w:sz w:val="20"/>
          <w:lang w:val="pl-PL"/>
        </w:rPr>
        <w:t xml:space="preserve">.  </w:t>
      </w:r>
    </w:p>
    <w:p w:rsidR="00D8712F" w:rsidRDefault="0071541C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rFonts w:eastAsia="Calibri"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7487C58" wp14:editId="52D6EB06">
            <wp:simplePos x="0" y="0"/>
            <wp:positionH relativeFrom="column">
              <wp:posOffset>-120650</wp:posOffset>
            </wp:positionH>
            <wp:positionV relativeFrom="paragraph">
              <wp:posOffset>253365</wp:posOffset>
            </wp:positionV>
            <wp:extent cx="660400" cy="615950"/>
            <wp:effectExtent l="0" t="0" r="635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2F" w:rsidRDefault="00D8712F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C23D87" w:rsidRDefault="00DA573D" w:rsidP="00D8712F">
      <w:pPr>
        <w:pStyle w:val="Tekstpodstawowy"/>
        <w:spacing w:after="0" w:line="360" w:lineRule="auto"/>
        <w:rPr>
          <w:i/>
          <w:sz w:val="20"/>
          <w:lang w:val="pl-PL"/>
        </w:rPr>
      </w:pPr>
      <w:r>
        <w:rPr>
          <w:i/>
          <w:sz w:val="20"/>
          <w:lang w:val="pl-PL"/>
        </w:rPr>
        <w:t>Oczywiście zdajemy sobie sprawę, że mierz</w:t>
      </w:r>
      <w:r w:rsidR="00666CDC">
        <w:rPr>
          <w:i/>
          <w:sz w:val="20"/>
          <w:lang w:val="pl-PL"/>
        </w:rPr>
        <w:t xml:space="preserve">enie jakości prawodawstwa </w:t>
      </w:r>
      <w:r>
        <w:rPr>
          <w:i/>
          <w:sz w:val="20"/>
          <w:lang w:val="pl-PL"/>
        </w:rPr>
        <w:t>liczbą stron nowych aktów prawnych jest pewnym uproszczeniem</w:t>
      </w:r>
      <w:r w:rsidR="00CA7159">
        <w:rPr>
          <w:i/>
          <w:sz w:val="20"/>
          <w:lang w:val="pl-PL"/>
        </w:rPr>
        <w:t>, choćby dlatego, że nie każdy przepis dotyczy każdego</w:t>
      </w:r>
      <w:r w:rsidR="001F586C">
        <w:rPr>
          <w:i/>
          <w:sz w:val="20"/>
          <w:lang w:val="pl-PL"/>
        </w:rPr>
        <w:t xml:space="preserve"> obywatela czy przedsiębiorcy</w:t>
      </w:r>
      <w:r>
        <w:rPr>
          <w:i/>
          <w:sz w:val="20"/>
          <w:lang w:val="pl-PL"/>
        </w:rPr>
        <w:t xml:space="preserve">. Jednak – mimo całej ułomności tego wskaźnika </w:t>
      </w:r>
      <w:r w:rsidR="00666CDC">
        <w:rPr>
          <w:i/>
          <w:sz w:val="20"/>
          <w:lang w:val="pl-PL"/>
        </w:rPr>
        <w:t>–</w:t>
      </w:r>
      <w:r>
        <w:rPr>
          <w:i/>
          <w:sz w:val="20"/>
          <w:lang w:val="pl-PL"/>
        </w:rPr>
        <w:t xml:space="preserve"> </w:t>
      </w:r>
      <w:r w:rsidR="00666CDC">
        <w:rPr>
          <w:i/>
          <w:sz w:val="20"/>
          <w:lang w:val="pl-PL"/>
        </w:rPr>
        <w:t xml:space="preserve">świetnie pokazuje on, jak produkcja prawa w ostatnich 15 latach wystrzeliła w górę i częściowo wyrwała organom państwa </w:t>
      </w:r>
      <w:r w:rsidR="00367E2A">
        <w:rPr>
          <w:i/>
          <w:sz w:val="20"/>
          <w:lang w:val="pl-PL"/>
        </w:rPr>
        <w:t>spod kontroli, stając się silną</w:t>
      </w:r>
      <w:r w:rsidR="001F547C">
        <w:rPr>
          <w:i/>
          <w:sz w:val="20"/>
          <w:lang w:val="pl-PL"/>
        </w:rPr>
        <w:t xml:space="preserve"> bariera w rozwoju polskich firm i polskiej gospodarki.</w:t>
      </w:r>
      <w:r>
        <w:rPr>
          <w:i/>
          <w:sz w:val="20"/>
          <w:lang w:val="pl-PL"/>
        </w:rPr>
        <w:t xml:space="preserve"> Przedsiębiorca planujący inw</w:t>
      </w:r>
      <w:r w:rsidR="00CA7159">
        <w:rPr>
          <w:i/>
          <w:sz w:val="20"/>
          <w:lang w:val="pl-PL"/>
        </w:rPr>
        <w:t>estycję nie może mieć w Polsce pewności</w:t>
      </w:r>
      <w:r>
        <w:rPr>
          <w:i/>
          <w:sz w:val="20"/>
          <w:lang w:val="pl-PL"/>
        </w:rPr>
        <w:t>, w jakich warunkach prawnych będzie funkcjonował, kiedy proces inwestycyjny się zakończy</w:t>
      </w:r>
      <w:r w:rsidR="00B72A99">
        <w:rPr>
          <w:i/>
          <w:sz w:val="20"/>
          <w:lang w:val="pl-PL"/>
        </w:rPr>
        <w:t xml:space="preserve"> </w:t>
      </w:r>
      <w:r w:rsidR="003F54DC">
        <w:rPr>
          <w:sz w:val="20"/>
          <w:lang w:val="pl-PL"/>
        </w:rPr>
        <w:t xml:space="preserve">– mówi </w:t>
      </w:r>
      <w:r w:rsidR="003F54DC" w:rsidRPr="000C0104">
        <w:rPr>
          <w:b/>
          <w:sz w:val="20"/>
          <w:lang w:val="pl-PL"/>
        </w:rPr>
        <w:t>Tomasz Wróblewski</w:t>
      </w:r>
      <w:r w:rsidR="00BD000B">
        <w:rPr>
          <w:i/>
          <w:sz w:val="20"/>
          <w:lang w:val="pl-PL"/>
        </w:rPr>
        <w:t>.</w:t>
      </w:r>
      <w:r w:rsidR="00486D88">
        <w:rPr>
          <w:i/>
          <w:sz w:val="20"/>
          <w:lang w:val="pl-PL"/>
        </w:rPr>
        <w:t xml:space="preserve"> </w:t>
      </w:r>
    </w:p>
    <w:p w:rsidR="00D8712F" w:rsidRDefault="00D8712F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CA7159" w:rsidRDefault="00367E2A" w:rsidP="00CA7159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Tym bardziej cieszy deklaracja Premiera Mateusza Morawieckiego złożona w czasie ostatniego Forum </w:t>
      </w:r>
      <w:r w:rsidR="00FF1AF3">
        <w:rPr>
          <w:sz w:val="20"/>
          <w:lang w:val="pl-PL"/>
        </w:rPr>
        <w:t>Ekonomicznego w Krynicy Zdrój, zgodnie z którą rząd z uwagą monitoruje wyniki „Barometru prawa” i będzie się starał utrzymywać poziom produkcji przepisów na stabilnym, obniżonym poziomie.</w:t>
      </w:r>
      <w:r w:rsidR="00CA7159" w:rsidRPr="00CA7159">
        <w:rPr>
          <w:sz w:val="20"/>
          <w:lang w:val="pl-PL"/>
        </w:rPr>
        <w:t xml:space="preserve"> </w:t>
      </w:r>
    </w:p>
    <w:p w:rsidR="00CA7159" w:rsidRDefault="00CA7159" w:rsidP="00CA7159">
      <w:pPr>
        <w:pStyle w:val="Tekstpodstawowy"/>
        <w:spacing w:after="0" w:line="360" w:lineRule="auto"/>
        <w:rPr>
          <w:sz w:val="20"/>
          <w:lang w:val="pl-PL"/>
        </w:rPr>
      </w:pPr>
      <w:r>
        <w:rPr>
          <w:rFonts w:eastAsia="Calibri"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66432" behindDoc="0" locked="0" layoutInCell="1" allowOverlap="1" wp14:anchorId="0C14C07A" wp14:editId="1328AFBC">
            <wp:simplePos x="0" y="0"/>
            <wp:positionH relativeFrom="column">
              <wp:posOffset>-120650</wp:posOffset>
            </wp:positionH>
            <wp:positionV relativeFrom="paragraph">
              <wp:posOffset>253365</wp:posOffset>
            </wp:positionV>
            <wp:extent cx="660400" cy="615950"/>
            <wp:effectExtent l="0" t="0" r="635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159" w:rsidRDefault="00CA7159" w:rsidP="00CA7159">
      <w:pPr>
        <w:pStyle w:val="Tekstpodstawowy"/>
        <w:spacing w:after="0" w:line="360" w:lineRule="auto"/>
        <w:rPr>
          <w:sz w:val="20"/>
          <w:lang w:val="pl-PL"/>
        </w:rPr>
      </w:pPr>
    </w:p>
    <w:p w:rsidR="00CA7159" w:rsidRDefault="00CA7159" w:rsidP="00CA7159">
      <w:pPr>
        <w:pStyle w:val="Tekstpodstawowy"/>
        <w:spacing w:after="0" w:line="360" w:lineRule="auto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Niezmiernie cieszy nas fakt, że problem stabilności otoczenia prawnego zajmuje ważne miejsce w </w:t>
      </w:r>
      <w:r w:rsidR="00D57C7C">
        <w:rPr>
          <w:i/>
          <w:sz w:val="20"/>
          <w:lang w:val="pl-PL"/>
        </w:rPr>
        <w:t>priorytetach rządu i podejmowane są działania zmierzające do ograniczenia zmienności prawa w Polsce. Trzymamy kciuki, aby te działania przyniosły zakładany skutek. Właśnie taki był nasz cel, kiedy blisko pięć lat temu uruchamialiśmy nasz projekt</w:t>
      </w:r>
      <w:r>
        <w:rPr>
          <w:i/>
          <w:sz w:val="20"/>
          <w:lang w:val="pl-PL"/>
        </w:rPr>
        <w:t xml:space="preserve"> </w:t>
      </w:r>
      <w:r>
        <w:rPr>
          <w:sz w:val="20"/>
          <w:lang w:val="pl-PL"/>
        </w:rPr>
        <w:t xml:space="preserve">– mówi </w:t>
      </w:r>
      <w:r w:rsidRPr="000C0104">
        <w:rPr>
          <w:b/>
          <w:sz w:val="20"/>
          <w:lang w:val="pl-PL"/>
        </w:rPr>
        <w:t>Tomasz Wróblewski</w:t>
      </w:r>
      <w:r>
        <w:rPr>
          <w:i/>
          <w:sz w:val="20"/>
          <w:lang w:val="pl-PL"/>
        </w:rPr>
        <w:t xml:space="preserve">. </w:t>
      </w:r>
    </w:p>
    <w:p w:rsidR="00367E2A" w:rsidRDefault="00367E2A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CA7159" w:rsidRDefault="00CA7159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DA5EB8" w:rsidRDefault="0048296D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 w:rsidRPr="0048296D">
        <w:rPr>
          <w:rFonts w:eastAsia="Calibri" w:cstheme="minorHAnsi"/>
          <w:sz w:val="20"/>
          <w:lang w:val="pl-PL"/>
        </w:rPr>
        <w:t xml:space="preserve">Wyniki badań prowadzonych w ramach projektu „Barometr stabilności otoczenia prawnego w polskiej gospodarce” na bieżąco, raz na kwartał, prezentowane są na stronie </w:t>
      </w:r>
      <w:hyperlink r:id="rId9" w:history="1">
        <w:r w:rsidRPr="00FF1AF3">
          <w:rPr>
            <w:rStyle w:val="Hipercze"/>
            <w:rFonts w:eastAsia="Calibri" w:cstheme="minorHAnsi"/>
            <w:b/>
            <w:color w:val="4F2D7F"/>
            <w:sz w:val="20"/>
            <w:lang w:val="pl-PL"/>
          </w:rPr>
          <w:t>BarometrPrawa.pl</w:t>
        </w:r>
      </w:hyperlink>
      <w:r w:rsidRPr="0048296D">
        <w:rPr>
          <w:rFonts w:eastAsia="Calibri" w:cstheme="minorHAnsi"/>
          <w:color w:val="7030A0"/>
          <w:sz w:val="20"/>
          <w:lang w:val="pl-PL"/>
        </w:rPr>
        <w:t>.</w:t>
      </w:r>
      <w:r w:rsidR="009C525E">
        <w:rPr>
          <w:rFonts w:eastAsia="Calibri" w:cstheme="minorHAnsi"/>
          <w:sz w:val="20"/>
          <w:lang w:val="pl-PL"/>
        </w:rPr>
        <w:t xml:space="preserve"> </w:t>
      </w:r>
    </w:p>
    <w:p w:rsidR="009C525E" w:rsidRDefault="009C525E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17B58" w:rsidRDefault="00417B58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bookmarkStart w:id="1" w:name="_GoBack"/>
      <w:bookmarkEnd w:id="1"/>
    </w:p>
    <w:p w:rsidR="00DA5EB8" w:rsidRPr="00DA5EB8" w:rsidRDefault="00DA5EB8" w:rsidP="00DA5EB8">
      <w:pPr>
        <w:spacing w:after="0" w:line="240" w:lineRule="auto"/>
        <w:jc w:val="center"/>
        <w:rPr>
          <w:color w:val="000000" w:themeColor="text1"/>
          <w:sz w:val="20"/>
          <w:lang w:val="pl-PL"/>
        </w:rPr>
      </w:pPr>
      <w:r>
        <w:rPr>
          <w:sz w:val="20"/>
          <w:lang w:val="pl-PL"/>
        </w:rPr>
        <w:t>- koniec -</w:t>
      </w:r>
    </w:p>
    <w:p w:rsidR="009B52BD" w:rsidRDefault="009B52BD" w:rsidP="009B52BD">
      <w:pPr>
        <w:pStyle w:val="Tekstpodstawowy"/>
        <w:rPr>
          <w:rFonts w:eastAsia="Calibri"/>
          <w:lang w:val="pl-PL"/>
        </w:rPr>
      </w:pPr>
    </w:p>
    <w:p w:rsidR="0048296D" w:rsidRDefault="00C84666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 w:rsidRPr="009B52BD">
        <w:rPr>
          <w:rFonts w:eastAsia="Calibri" w:cstheme="minorHAnsi"/>
          <w:noProof/>
          <w:sz w:val="20"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0</wp:posOffset>
                </wp:positionV>
                <wp:extent cx="6159500" cy="82143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821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3F" w:rsidRDefault="0024233F" w:rsidP="00D00C82">
                            <w:pPr>
                              <w:spacing w:after="0" w:line="276" w:lineRule="auto"/>
                              <w:rPr>
                                <w:b/>
                                <w:color w:val="00A1B5"/>
                                <w:sz w:val="10"/>
                                <w:lang w:val="pl-PL"/>
                              </w:rPr>
                            </w:pPr>
                          </w:p>
                          <w:p w:rsidR="004B2BE4" w:rsidRPr="0024233F" w:rsidRDefault="004B2BE4" w:rsidP="00D00C82">
                            <w:pPr>
                              <w:spacing w:after="0" w:line="276" w:lineRule="auto"/>
                              <w:rPr>
                                <w:b/>
                                <w:color w:val="00A1B5"/>
                                <w:sz w:val="10"/>
                                <w:lang w:val="pl-PL"/>
                              </w:rPr>
                            </w:pPr>
                          </w:p>
                          <w:p w:rsidR="009B52BD" w:rsidRPr="009B52BD" w:rsidRDefault="009B52BD" w:rsidP="00D00C82">
                            <w:pPr>
                              <w:spacing w:after="0" w:line="276" w:lineRule="auto"/>
                              <w:rPr>
                                <w:b/>
                                <w:color w:val="4F2D7F"/>
                                <w:sz w:val="22"/>
                                <w:lang w:val="pl-PL"/>
                              </w:rPr>
                            </w:pPr>
                            <w:r w:rsidRPr="00DA5EB8">
                              <w:rPr>
                                <w:b/>
                                <w:color w:val="00A1B5"/>
                                <w:sz w:val="22"/>
                                <w:lang w:val="pl-PL"/>
                              </w:rPr>
                              <w:t xml:space="preserve">WAŻNE: </w:t>
                            </w:r>
                            <w:r w:rsidRPr="009B52BD">
                              <w:rPr>
                                <w:b/>
                                <w:color w:val="4F2D7F"/>
                                <w:sz w:val="22"/>
                                <w:lang w:val="pl-PL"/>
                              </w:rPr>
                              <w:t>Dostosowania w metodologii</w:t>
                            </w:r>
                          </w:p>
                          <w:p w:rsidR="009B52BD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4B2BE4" w:rsidRPr="00C03998" w:rsidRDefault="004B2BE4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Po pięciu latach prowadzenia projektu zdecydowaliśmy się </w:t>
                            </w:r>
                            <w:r w:rsidR="00D57C7C">
                              <w:rPr>
                                <w:sz w:val="16"/>
                                <w:lang w:val="pl-PL"/>
                              </w:rPr>
                              <w:t xml:space="preserve">przy okazji poprzedniej aktualizacji (za I półrocze 2019 r.) 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>nieco doprecyzować metodologię obliczania wyników „Ba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rometru..”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>. Zwiększają one porównywalność wyników między poszczególnymi okresami, a także je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 xml:space="preserve"> – w naszej ocenie –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obiektywizują.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9B52BD" w:rsidRPr="00C03998" w:rsidRDefault="00F17F9C" w:rsidP="00D00C82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  <w:t>Teksty jednolite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>Kiedy rozpoczynaliśmy pracę nad Barometrem publikowanie w Dzienniku Ustaw tekstów jednolitych ustaw i rozporządzeń było rzadkością (stanowiły one 2-5 proc. aktów prawnych), więc nie wpływały one istotnie na wyniki Batometru. W ostatnich latach skala publikowania tekstów jednolitych jednak silnie wzrosła i w coraz większym stopniu wpływa na kształt obliczeń, dlatego oczyściliśmy nasz wskaźnik ze wszystkich tekstów jednolitych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 xml:space="preserve"> wstecz ze wszystkich lat od 1999 r. do teraz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>.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</w:p>
                          <w:p w:rsidR="009B52BD" w:rsidRPr="00C03998" w:rsidRDefault="009B52BD" w:rsidP="00D00C82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  <w:t>Umowy międzynarodowe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Dotąd jako ustawy najwyższego rzędu klasyfikowaliśmy ustawy i rozporządzenia, natomiast – zgodnie z 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najczęściej spotykaną klasyfikacją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aktów prawnych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, do grona tego powinny być wliczane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również umowy międzynarod</w:t>
                            </w:r>
                            <w:r w:rsidR="000262E7">
                              <w:rPr>
                                <w:sz w:val="16"/>
                                <w:lang w:val="pl-PL"/>
                              </w:rPr>
                              <w:t xml:space="preserve">owe, a więc np. umowy między Polską a innym krajem o unikaniu opodatkowania albo o 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wolnym handlu.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Mają one nie tylko w</w:t>
                            </w:r>
                            <w:r w:rsidR="00F17F9C">
                              <w:rPr>
                                <w:sz w:val="16"/>
                                <w:lang w:val="pl-PL"/>
                              </w:rPr>
                              <w:t>ysoką wagę polityczną i rangę w 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hierarchii aktów prawnych, ale też często silnie wpływają na działalność przedsiębiorstw, zwłaszcza handel</w:t>
                            </w:r>
                            <w:r w:rsidR="00F17F9C">
                              <w:rPr>
                                <w:sz w:val="16"/>
                                <w:lang w:val="pl-PL"/>
                              </w:rPr>
                              <w:t xml:space="preserve"> zagraniczny i 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ekspansję zagraniczną. D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latego postanowiliśmy je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uwzględniać w naszych obliczeniach.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</w:p>
                          <w:p w:rsidR="009B52BD" w:rsidRPr="00C03998" w:rsidRDefault="009B52BD" w:rsidP="00D00C82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  <w:t>Duże załączniki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>D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otychczas w wynikach „Barometru…”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nie braliśmy pod uwagę dużych załączni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ków do aktów prawnych w postaci</w:t>
                            </w:r>
                            <w:r w:rsidR="001D5E0E" w:rsidRPr="00C03998">
                              <w:rPr>
                                <w:sz w:val="16"/>
                                <w:lang w:val="pl-PL"/>
                              </w:rPr>
                              <w:t xml:space="preserve"> np. liczących kilkaset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stron zestawień tabelarycznych. Było to jednak subiektywne kryterium, co rodziło spory interpretacyjne na temat tego, które zestawienia powinny być brane pod uwagę, a które nie. </w:t>
                            </w:r>
                            <w:r w:rsidR="006C2380" w:rsidRPr="00C03998">
                              <w:rPr>
                                <w:sz w:val="16"/>
                                <w:lang w:val="pl-PL"/>
                              </w:rPr>
                              <w:t xml:space="preserve">Na przykład niektóre duże objętościowo tabele są z punktu widzenia działalności gospodarczej dużo istotniejsze niż część tekstowa (np. matryca VAT). 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>Dlatego – aby zwiększyć obiektywizm obserwacji – zdecydowaliśmy się uwzględniać akty prawne w całości, łącznie niezależnie od ich wagi merytorycznej, istotności treści dla odbiorców czy układu graficznego.</w:t>
                            </w:r>
                            <w:r w:rsidR="001D5E0E" w:rsidRPr="00C03998">
                              <w:rPr>
                                <w:sz w:val="16"/>
                                <w:lang w:val="pl-PL"/>
                              </w:rPr>
                              <w:t xml:space="preserve"> Jako wyjątek uznajemy jedynie</w:t>
                            </w:r>
                            <w:r w:rsidR="006C2380" w:rsidRPr="00C03998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1D5E0E" w:rsidRPr="00C03998">
                              <w:rPr>
                                <w:sz w:val="16"/>
                                <w:lang w:val="pl-PL"/>
                              </w:rPr>
                              <w:t>tabele o objętości powyżej 5 tys. stron</w:t>
                            </w:r>
                            <w:r w:rsidR="00C03998" w:rsidRPr="00C03998">
                              <w:rPr>
                                <w:sz w:val="16"/>
                                <w:lang w:val="pl-PL"/>
                              </w:rPr>
                              <w:t>, pojawiające się niezwykle rzadko (jeden taki przypadek w ciągu 10 lat), a silnie zaburzające wyniki roczne.</w:t>
                            </w:r>
                          </w:p>
                          <w:p w:rsidR="00C84666" w:rsidRPr="00C03998" w:rsidRDefault="00C84666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9C6D04" w:rsidRPr="00C03998" w:rsidRDefault="00C84666" w:rsidP="00D00C82">
                            <w:pPr>
                              <w:spacing w:after="0" w:line="276" w:lineRule="auto"/>
                              <w:rPr>
                                <w:noProof/>
                                <w:sz w:val="16"/>
                                <w:lang w:val="pl-PL" w:eastAsia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Powyższe zmiany wprowadziliśmy dla naszego 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wskaźnika wstecz aż do 1999 r. Co ważne, jak się okazuje, korekta nie zmienia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głównych wniosków z naszych poprzednich publikacji – według obu metodologii okres historycznie największej produkcji prawa przypadł na lata 2013-2017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 xml:space="preserve"> (a szczyt na 2016 r.)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i był</w:t>
                            </w:r>
                            <w:r w:rsidR="009C6D04" w:rsidRPr="00C03998">
                              <w:rPr>
                                <w:sz w:val="16"/>
                                <w:lang w:val="pl-PL"/>
                              </w:rPr>
                              <w:t xml:space="preserve">a ona wówczas wyższa nawet niż w latach dostosowywania się Polski do systemu prawnego Unii Europejskiej, natomiast w ostatnim okresie widać </w:t>
                            </w:r>
                            <w:r w:rsidR="005B4D54" w:rsidRPr="00C03998">
                              <w:rPr>
                                <w:sz w:val="16"/>
                                <w:lang w:val="pl-PL"/>
                              </w:rPr>
                              <w:t>wyhamowanie trendu przyrostu nowych</w:t>
                            </w:r>
                            <w:r w:rsidR="009C6D04" w:rsidRPr="00C03998">
                              <w:rPr>
                                <w:sz w:val="16"/>
                                <w:lang w:val="pl-PL"/>
                              </w:rPr>
                              <w:t xml:space="preserve"> przepisów prawa w Polsce.</w:t>
                            </w:r>
                            <w:r w:rsidR="009C6D04" w:rsidRPr="00C03998">
                              <w:rPr>
                                <w:noProof/>
                                <w:sz w:val="16"/>
                                <w:lang w:val="pl-PL" w:eastAsia="pl-PL"/>
                              </w:rPr>
                              <w:t xml:space="preserve"> </w:t>
                            </w:r>
                          </w:p>
                          <w:p w:rsidR="00D00C82" w:rsidRDefault="00D00C82" w:rsidP="00D00C82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sz w:val="16"/>
                                <w:lang w:val="pl-PL" w:eastAsia="pl-PL"/>
                              </w:rPr>
                            </w:pPr>
                          </w:p>
                          <w:p w:rsidR="00C03998" w:rsidRPr="00C03998" w:rsidRDefault="00C03998" w:rsidP="00D00C82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sz w:val="16"/>
                                <w:lang w:val="pl-PL" w:eastAsia="pl-PL"/>
                              </w:rPr>
                            </w:pPr>
                          </w:p>
                          <w:p w:rsidR="005B4D54" w:rsidRPr="00C03998" w:rsidRDefault="005B4D54" w:rsidP="00D00C82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sz w:val="16"/>
                                <w:lang w:val="pl-PL" w:eastAsia="pl-PL"/>
                              </w:rPr>
                            </w:pPr>
                            <w:r w:rsidRPr="00C03998">
                              <w:rPr>
                                <w:b/>
                                <w:noProof/>
                                <w:sz w:val="16"/>
                                <w:lang w:val="pl-PL" w:eastAsia="pl-PL"/>
                              </w:rPr>
                              <w:t>Wykres. Liczba stron nowych aktów prawnych w Polsce</w:t>
                            </w:r>
                          </w:p>
                          <w:p w:rsidR="005B4D54" w:rsidRPr="005B4D54" w:rsidRDefault="005B4D54" w:rsidP="00D00C82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sz w:val="8"/>
                                <w:lang w:val="pl-PL" w:eastAsia="pl-PL"/>
                              </w:rPr>
                            </w:pPr>
                          </w:p>
                          <w:p w:rsidR="00D00C82" w:rsidRDefault="00012180" w:rsidP="00D00C82">
                            <w:pPr>
                              <w:spacing w:after="0" w:line="276" w:lineRule="auto"/>
                              <w:rPr>
                                <w:noProof/>
                                <w:lang w:val="pl-PL" w:eastAsia="pl-PL"/>
                              </w:rPr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A247731" wp14:editId="5F88F447">
                                  <wp:extent cx="6010910" cy="2676525"/>
                                  <wp:effectExtent l="0" t="0" r="8890" b="9525"/>
                                  <wp:docPr id="11" name="Wykres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666" w:rsidRDefault="00C84666" w:rsidP="009B52BD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84666" w:rsidRDefault="00C84666" w:rsidP="009B52BD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B52BD" w:rsidRPr="009B52BD" w:rsidRDefault="009B52BD" w:rsidP="009B52BD">
                            <w:pPr>
                              <w:rPr>
                                <w:lang w:val="pl-PL"/>
                              </w:rPr>
                            </w:pPr>
                            <w:r w:rsidRPr="009B52BD">
                              <w:rPr>
                                <w:noProof/>
                                <w:lang w:val="pl-PL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75pt;margin-top:0;width:485pt;height:64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" fillcolor="#d8d8d8 [2732]" stroked="f">
                <v:textbox>
                  <w:txbxContent>
                    <w:p w:rsidR="0024233F" w:rsidRDefault="0024233F" w:rsidP="00D00C82">
                      <w:pPr>
                        <w:spacing w:after="0" w:line="276" w:lineRule="auto"/>
                        <w:rPr>
                          <w:b/>
                          <w:color w:val="00A1B5"/>
                          <w:sz w:val="10"/>
                          <w:lang w:val="pl-PL"/>
                        </w:rPr>
                      </w:pPr>
                      <w:bookmarkStart w:id="2" w:name="_GoBack"/>
                    </w:p>
                    <w:p w:rsidR="004B2BE4" w:rsidRPr="0024233F" w:rsidRDefault="004B2BE4" w:rsidP="00D00C82">
                      <w:pPr>
                        <w:spacing w:after="0" w:line="276" w:lineRule="auto"/>
                        <w:rPr>
                          <w:b/>
                          <w:color w:val="00A1B5"/>
                          <w:sz w:val="10"/>
                          <w:lang w:val="pl-PL"/>
                        </w:rPr>
                      </w:pPr>
                    </w:p>
                    <w:p w:rsidR="009B52BD" w:rsidRPr="009B52BD" w:rsidRDefault="009B52BD" w:rsidP="00D00C82">
                      <w:pPr>
                        <w:spacing w:after="0" w:line="276" w:lineRule="auto"/>
                        <w:rPr>
                          <w:b/>
                          <w:color w:val="4F2D7F"/>
                          <w:sz w:val="22"/>
                          <w:lang w:val="pl-PL"/>
                        </w:rPr>
                      </w:pPr>
                      <w:r w:rsidRPr="00DA5EB8">
                        <w:rPr>
                          <w:b/>
                          <w:color w:val="00A1B5"/>
                          <w:sz w:val="22"/>
                          <w:lang w:val="pl-PL"/>
                        </w:rPr>
                        <w:t xml:space="preserve">WAŻNE: </w:t>
                      </w:r>
                      <w:r w:rsidRPr="009B52BD">
                        <w:rPr>
                          <w:b/>
                          <w:color w:val="4F2D7F"/>
                          <w:sz w:val="22"/>
                          <w:lang w:val="pl-PL"/>
                        </w:rPr>
                        <w:t>Dostosowania w metodologii</w:t>
                      </w:r>
                    </w:p>
                    <w:p w:rsidR="009B52BD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</w:p>
                    <w:p w:rsidR="004B2BE4" w:rsidRPr="00C03998" w:rsidRDefault="004B2BE4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 xml:space="preserve">Po pięciu latach prowadzenia projektu zdecydowaliśmy się </w:t>
                      </w:r>
                      <w:r w:rsidR="00D57C7C">
                        <w:rPr>
                          <w:sz w:val="16"/>
                          <w:lang w:val="pl-PL"/>
                        </w:rPr>
                        <w:t xml:space="preserve">przy okazji poprzedniej aktualizacji (za I półrocze 2019 r.) </w:t>
                      </w:r>
                      <w:r w:rsidRPr="00C03998">
                        <w:rPr>
                          <w:sz w:val="16"/>
                          <w:lang w:val="pl-PL"/>
                        </w:rPr>
                        <w:t>nieco doprecyzować metodologię obliczania wyników „Ba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rometru..”</w:t>
                      </w:r>
                      <w:r w:rsidRPr="00C03998">
                        <w:rPr>
                          <w:sz w:val="16"/>
                          <w:lang w:val="pl-PL"/>
                        </w:rPr>
                        <w:t>. Zwiększają one porównywalność wyników między poszczególnymi okresami, a także je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 xml:space="preserve"> – w naszej ocenie –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obiektywizują.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</w:p>
                    <w:p w:rsidR="009B52BD" w:rsidRPr="00C03998" w:rsidRDefault="00F17F9C" w:rsidP="00D00C82">
                      <w:pPr>
                        <w:pStyle w:val="Akapitzlist"/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  <w:r>
                        <w:rPr>
                          <w:b/>
                          <w:color w:val="4F2D7F"/>
                          <w:sz w:val="16"/>
                          <w:lang w:val="pl-PL"/>
                        </w:rPr>
                        <w:t>Teksty jednolite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>Kiedy rozpoczynaliśmy pracę nad Barometrem publikowanie w Dzienniku Ustaw tekstów jednolitych ustaw i rozporządzeń było rzadkością (stanowiły one 2-5 proc. aktów prawnych), więc nie wpływały one istotnie na wyniki Batometru. W ostatnich latach skala publikowania tekstów jednolitych jednak silnie wzrosła i w coraz większym stopniu wpływa na kształt obliczeń, dlatego oczyściliśmy nasz wskaźnik ze wszystkich tekstów jednolitych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 xml:space="preserve"> wstecz ze wszystkich lat od 1999 r. do teraz</w:t>
                      </w:r>
                      <w:r w:rsidRPr="00C03998">
                        <w:rPr>
                          <w:sz w:val="16"/>
                          <w:lang w:val="pl-PL"/>
                        </w:rPr>
                        <w:t>.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</w:p>
                    <w:p w:rsidR="009B52BD" w:rsidRPr="00C03998" w:rsidRDefault="009B52BD" w:rsidP="00D00C82">
                      <w:pPr>
                        <w:pStyle w:val="Akapitzlist"/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  <w:r w:rsidRPr="00C03998">
                        <w:rPr>
                          <w:b/>
                          <w:color w:val="4F2D7F"/>
                          <w:sz w:val="16"/>
                          <w:lang w:val="pl-PL"/>
                        </w:rPr>
                        <w:t>Umowy międzynarodowe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 xml:space="preserve">Dotąd jako ustawy najwyższego rzędu klasyfikowaliśmy ustawy i rozporządzenia, natomiast – zgodnie z </w:t>
                      </w:r>
                      <w:r w:rsidR="0038021A">
                        <w:rPr>
                          <w:sz w:val="16"/>
                          <w:lang w:val="pl-PL"/>
                        </w:rPr>
                        <w:t>najczęściej spotykaną klasyfikacją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aktów prawnych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, do grona tego powinny być wliczane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również umowy międzynarod</w:t>
                      </w:r>
                      <w:r w:rsidR="000262E7">
                        <w:rPr>
                          <w:sz w:val="16"/>
                          <w:lang w:val="pl-PL"/>
                        </w:rPr>
                        <w:t xml:space="preserve">owe, a więc np. umowy między Polską a innym krajem o unikaniu opodatkowania albo o </w:t>
                      </w:r>
                      <w:r w:rsidR="0038021A">
                        <w:rPr>
                          <w:sz w:val="16"/>
                          <w:lang w:val="pl-PL"/>
                        </w:rPr>
                        <w:t>wolnym handlu.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38021A">
                        <w:rPr>
                          <w:sz w:val="16"/>
                          <w:lang w:val="pl-PL"/>
                        </w:rPr>
                        <w:t>Mają one nie tylko w</w:t>
                      </w:r>
                      <w:r w:rsidR="00F17F9C">
                        <w:rPr>
                          <w:sz w:val="16"/>
                          <w:lang w:val="pl-PL"/>
                        </w:rPr>
                        <w:t>ysoką wagę polityczną i rangę w </w:t>
                      </w:r>
                      <w:r w:rsidR="0038021A">
                        <w:rPr>
                          <w:sz w:val="16"/>
                          <w:lang w:val="pl-PL"/>
                        </w:rPr>
                        <w:t>hierarchii aktów prawnych, ale też często silnie wpływają na działalność przedsiębiorstw, zwłaszcza handel</w:t>
                      </w:r>
                      <w:r w:rsidR="00F17F9C">
                        <w:rPr>
                          <w:sz w:val="16"/>
                          <w:lang w:val="pl-PL"/>
                        </w:rPr>
                        <w:t xml:space="preserve"> zagraniczny i </w:t>
                      </w:r>
                      <w:r w:rsidR="0038021A">
                        <w:rPr>
                          <w:sz w:val="16"/>
                          <w:lang w:val="pl-PL"/>
                        </w:rPr>
                        <w:t>ekspansję zagraniczną. D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latego postanowiliśmy je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uwzględniać w naszych obliczeniach.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</w:p>
                    <w:p w:rsidR="009B52BD" w:rsidRPr="00C03998" w:rsidRDefault="009B52BD" w:rsidP="00D00C82">
                      <w:pPr>
                        <w:pStyle w:val="Akapitzlist"/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  <w:r w:rsidRPr="00C03998">
                        <w:rPr>
                          <w:b/>
                          <w:color w:val="4F2D7F"/>
                          <w:sz w:val="16"/>
                          <w:lang w:val="pl-PL"/>
                        </w:rPr>
                        <w:t>Duże załączniki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>D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otychczas w wynikach „Barometru…”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nie braliśmy pod uwagę dużych załączni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ków do aktów prawnych w postaci</w:t>
                      </w:r>
                      <w:r w:rsidR="001D5E0E" w:rsidRPr="00C03998">
                        <w:rPr>
                          <w:sz w:val="16"/>
                          <w:lang w:val="pl-PL"/>
                        </w:rPr>
                        <w:t xml:space="preserve"> np. liczących kilkaset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stron zestawień tabelarycznych. Było to jednak subiektywne kryterium, co rodziło spory interpretacyjne na temat tego, które zestawienia powinny być brane pod uwagę, a które nie. </w:t>
                      </w:r>
                      <w:r w:rsidR="006C2380" w:rsidRPr="00C03998">
                        <w:rPr>
                          <w:sz w:val="16"/>
                          <w:lang w:val="pl-PL"/>
                        </w:rPr>
                        <w:t xml:space="preserve">Na przykład niektóre duże objętościowo tabele są z punktu widzenia działalności gospodarczej dużo istotniejsze niż część tekstowa (np. matryca VAT). </w:t>
                      </w:r>
                      <w:r w:rsidRPr="00C03998">
                        <w:rPr>
                          <w:sz w:val="16"/>
                          <w:lang w:val="pl-PL"/>
                        </w:rPr>
                        <w:t>Dlatego – aby zwiększyć obiektywizm obserwacji – zdecydowaliśmy się uwzględniać akty prawne w całości, łącznie niezależnie od ich wagi merytorycznej, istotności treści dla odbiorców czy układu graficznego.</w:t>
                      </w:r>
                      <w:r w:rsidR="001D5E0E" w:rsidRPr="00C03998">
                        <w:rPr>
                          <w:sz w:val="16"/>
                          <w:lang w:val="pl-PL"/>
                        </w:rPr>
                        <w:t xml:space="preserve"> Jako wyjątek uznajemy jedynie</w:t>
                      </w:r>
                      <w:r w:rsidR="006C2380" w:rsidRPr="00C03998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1D5E0E" w:rsidRPr="00C03998">
                        <w:rPr>
                          <w:sz w:val="16"/>
                          <w:lang w:val="pl-PL"/>
                        </w:rPr>
                        <w:t>tabele o objętości powyżej 5 tys. stron</w:t>
                      </w:r>
                      <w:r w:rsidR="00C03998" w:rsidRPr="00C03998">
                        <w:rPr>
                          <w:sz w:val="16"/>
                          <w:lang w:val="pl-PL"/>
                        </w:rPr>
                        <w:t>, pojawiające się niezwykle rzadko (jeden taki przypadek w ciągu 10 lat), a silnie zaburzające wyniki roczne.</w:t>
                      </w:r>
                    </w:p>
                    <w:p w:rsidR="00C84666" w:rsidRPr="00C03998" w:rsidRDefault="00C84666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</w:p>
                    <w:p w:rsidR="009C6D04" w:rsidRPr="00C03998" w:rsidRDefault="00C84666" w:rsidP="00D00C82">
                      <w:pPr>
                        <w:spacing w:after="0" w:line="276" w:lineRule="auto"/>
                        <w:rPr>
                          <w:noProof/>
                          <w:sz w:val="16"/>
                          <w:lang w:val="pl-PL" w:eastAsia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 xml:space="preserve">Powyższe zmiany wprowadziliśmy dla naszego 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wskaźnika wstecz aż do 1999 r. Co ważne, jak się okazuje, korekta nie zmienia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głównych wniosków z naszych poprzednich publikacji – według obu metodologii okres historycznie największej produkcji prawa przypadł na lata 2013-2017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 xml:space="preserve"> (a szczyt na 2016 r.)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i był</w:t>
                      </w:r>
                      <w:r w:rsidR="009C6D04" w:rsidRPr="00C03998">
                        <w:rPr>
                          <w:sz w:val="16"/>
                          <w:lang w:val="pl-PL"/>
                        </w:rPr>
                        <w:t xml:space="preserve">a ona wówczas wyższa nawet niż w latach dostosowywania się Polski do systemu prawnego Unii Europejskiej, natomiast w ostatnim okresie widać </w:t>
                      </w:r>
                      <w:r w:rsidR="005B4D54" w:rsidRPr="00C03998">
                        <w:rPr>
                          <w:sz w:val="16"/>
                          <w:lang w:val="pl-PL"/>
                        </w:rPr>
                        <w:t>wyhamowanie trendu przyrostu nowych</w:t>
                      </w:r>
                      <w:r w:rsidR="009C6D04" w:rsidRPr="00C03998">
                        <w:rPr>
                          <w:sz w:val="16"/>
                          <w:lang w:val="pl-PL"/>
                        </w:rPr>
                        <w:t xml:space="preserve"> przepisów prawa w Polsce.</w:t>
                      </w:r>
                      <w:r w:rsidR="009C6D04" w:rsidRPr="00C03998">
                        <w:rPr>
                          <w:noProof/>
                          <w:sz w:val="16"/>
                          <w:lang w:val="pl-PL" w:eastAsia="pl-PL"/>
                        </w:rPr>
                        <w:t xml:space="preserve"> </w:t>
                      </w:r>
                    </w:p>
                    <w:p w:rsidR="00D00C82" w:rsidRDefault="00D00C82" w:rsidP="00D00C82">
                      <w:pPr>
                        <w:spacing w:after="0" w:line="276" w:lineRule="auto"/>
                        <w:rPr>
                          <w:b/>
                          <w:noProof/>
                          <w:sz w:val="16"/>
                          <w:lang w:val="pl-PL" w:eastAsia="pl-PL"/>
                        </w:rPr>
                      </w:pPr>
                    </w:p>
                    <w:p w:rsidR="00C03998" w:rsidRPr="00C03998" w:rsidRDefault="00C03998" w:rsidP="00D00C82">
                      <w:pPr>
                        <w:spacing w:after="0" w:line="276" w:lineRule="auto"/>
                        <w:rPr>
                          <w:b/>
                          <w:noProof/>
                          <w:sz w:val="16"/>
                          <w:lang w:val="pl-PL" w:eastAsia="pl-PL"/>
                        </w:rPr>
                      </w:pPr>
                    </w:p>
                    <w:p w:rsidR="005B4D54" w:rsidRPr="00C03998" w:rsidRDefault="005B4D54" w:rsidP="00D00C82">
                      <w:pPr>
                        <w:spacing w:after="0" w:line="276" w:lineRule="auto"/>
                        <w:rPr>
                          <w:b/>
                          <w:noProof/>
                          <w:sz w:val="16"/>
                          <w:lang w:val="pl-PL" w:eastAsia="pl-PL"/>
                        </w:rPr>
                      </w:pPr>
                      <w:r w:rsidRPr="00C03998">
                        <w:rPr>
                          <w:b/>
                          <w:noProof/>
                          <w:sz w:val="16"/>
                          <w:lang w:val="pl-PL" w:eastAsia="pl-PL"/>
                        </w:rPr>
                        <w:t>Wykres. Liczba stron nowych aktów prawnych w Polsce</w:t>
                      </w:r>
                    </w:p>
                    <w:p w:rsidR="005B4D54" w:rsidRPr="005B4D54" w:rsidRDefault="005B4D54" w:rsidP="00D00C82">
                      <w:pPr>
                        <w:spacing w:after="0" w:line="276" w:lineRule="auto"/>
                        <w:rPr>
                          <w:b/>
                          <w:noProof/>
                          <w:sz w:val="8"/>
                          <w:lang w:val="pl-PL" w:eastAsia="pl-PL"/>
                        </w:rPr>
                      </w:pPr>
                    </w:p>
                    <w:p w:rsidR="00D00C82" w:rsidRDefault="00012180" w:rsidP="00D00C82">
                      <w:pPr>
                        <w:spacing w:after="0" w:line="276" w:lineRule="auto"/>
                        <w:rPr>
                          <w:noProof/>
                          <w:lang w:val="pl-PL" w:eastAsia="pl-PL"/>
                        </w:rPr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4A247731" wp14:editId="5F88F447">
                            <wp:extent cx="6010910" cy="2676525"/>
                            <wp:effectExtent l="0" t="0" r="8890" b="9525"/>
                            <wp:docPr id="11" name="Wykres 1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C84666" w:rsidRDefault="00C84666" w:rsidP="009B52BD">
                      <w:pPr>
                        <w:rPr>
                          <w:lang w:val="pl-PL"/>
                        </w:rPr>
                      </w:pPr>
                    </w:p>
                    <w:p w:rsidR="00C84666" w:rsidRDefault="00C84666" w:rsidP="009B52BD">
                      <w:pPr>
                        <w:rPr>
                          <w:lang w:val="pl-PL"/>
                        </w:rPr>
                      </w:pPr>
                    </w:p>
                    <w:p w:rsidR="009B52BD" w:rsidRPr="009B52BD" w:rsidRDefault="009B52BD" w:rsidP="009B52BD">
                      <w:pPr>
                        <w:rPr>
                          <w:lang w:val="pl-PL"/>
                        </w:rPr>
                      </w:pPr>
                      <w:r w:rsidRPr="009B52BD">
                        <w:rPr>
                          <w:noProof/>
                          <w:lang w:val="pl-PL" w:eastAsia="pl-PL"/>
                        </w:rPr>
                        <w:t xml:space="preserve"> 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47B" w:rsidRDefault="0087247B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87247B" w:rsidRDefault="0087247B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6758" w:rsidRPr="0048296D" w:rsidRDefault="00D86758" w:rsidP="00D86758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B87565" w:rsidRPr="000C4938" w:rsidRDefault="00AE0450" w:rsidP="00B87565">
      <w:pPr>
        <w:pStyle w:val="Nagwek2"/>
        <w:rPr>
          <w:lang w:val="pl-PL"/>
        </w:rPr>
      </w:pPr>
      <w:r w:rsidRPr="000C4938">
        <w:rPr>
          <w:lang w:val="pl-PL"/>
        </w:rPr>
        <w:t>Zachęcamy do kontaktu</w:t>
      </w:r>
      <w:r w:rsidR="00B87565" w:rsidRPr="000C4938">
        <w:rPr>
          <w:lang w:val="pl-PL"/>
        </w:rPr>
        <w:t>:</w:t>
      </w:r>
    </w:p>
    <w:p w:rsidR="00B87565" w:rsidRPr="000C4938" w:rsidRDefault="00AE0450" w:rsidP="00B87565">
      <w:pPr>
        <w:rPr>
          <w:b/>
          <w:lang w:val="pl-PL"/>
        </w:rPr>
      </w:pPr>
      <w:r w:rsidRPr="000C4938">
        <w:rPr>
          <w:b/>
          <w:lang w:val="pl-PL"/>
        </w:rPr>
        <w:t>Jacek Kowalczyk</w:t>
      </w:r>
    </w:p>
    <w:p w:rsidR="00043B07" w:rsidRPr="008556C4" w:rsidRDefault="00043B07" w:rsidP="00B87565">
      <w:pPr>
        <w:rPr>
          <w:lang w:val="pl-PL"/>
        </w:rPr>
      </w:pPr>
      <w:r w:rsidRPr="008556C4">
        <w:rPr>
          <w:lang w:val="pl-PL"/>
        </w:rPr>
        <w:t>Dyrektor Marketingu i PR</w:t>
      </w:r>
    </w:p>
    <w:p w:rsidR="00AE0450" w:rsidRPr="008556C4" w:rsidRDefault="00AE0450" w:rsidP="00B87565">
      <w:pPr>
        <w:rPr>
          <w:lang w:val="pl-PL"/>
        </w:rPr>
      </w:pPr>
      <w:r w:rsidRPr="008556C4">
        <w:rPr>
          <w:lang w:val="pl-PL"/>
        </w:rPr>
        <w:t>Grant Thornton</w:t>
      </w:r>
    </w:p>
    <w:p w:rsidR="00B87565" w:rsidRPr="008556C4" w:rsidRDefault="00B87565" w:rsidP="00B87565">
      <w:pPr>
        <w:rPr>
          <w:b/>
          <w:lang w:val="pl-PL"/>
        </w:rPr>
      </w:pPr>
      <w:r w:rsidRPr="008556C4">
        <w:rPr>
          <w:b/>
          <w:lang w:val="pl-PL"/>
        </w:rPr>
        <w:t>T</w:t>
      </w:r>
      <w:r w:rsidR="00AE0450" w:rsidRPr="008556C4">
        <w:rPr>
          <w:b/>
          <w:lang w:val="pl-PL"/>
        </w:rPr>
        <w:t>:</w:t>
      </w:r>
      <w:r w:rsidRPr="008556C4">
        <w:rPr>
          <w:b/>
          <w:lang w:val="pl-PL"/>
        </w:rPr>
        <w:t xml:space="preserve"> </w:t>
      </w:r>
      <w:r w:rsidR="00AE0450" w:rsidRPr="008556C4">
        <w:rPr>
          <w:lang w:val="pl-PL"/>
        </w:rPr>
        <w:t>505 024 168, 22 205 48 41</w:t>
      </w:r>
    </w:p>
    <w:p w:rsidR="00AE0450" w:rsidRPr="008556C4" w:rsidRDefault="00AE0450" w:rsidP="00B55FA2">
      <w:pPr>
        <w:rPr>
          <w:b/>
          <w:lang w:val="pl-PL"/>
        </w:rPr>
      </w:pPr>
      <w:r w:rsidRPr="008556C4">
        <w:rPr>
          <w:b/>
          <w:lang w:val="pl-PL"/>
        </w:rPr>
        <w:t xml:space="preserve">E: </w:t>
      </w:r>
      <w:r w:rsidRPr="008556C4">
        <w:rPr>
          <w:lang w:val="pl-PL"/>
        </w:rPr>
        <w:t>jacek.kowalczyk@pl.gt.com</w:t>
      </w:r>
    </w:p>
    <w:p w:rsidR="00AE0450" w:rsidRPr="008556C4" w:rsidRDefault="00AE0450" w:rsidP="00B87565">
      <w:pPr>
        <w:pStyle w:val="Nagwek3"/>
        <w:rPr>
          <w:lang w:val="pl-PL"/>
        </w:rPr>
      </w:pPr>
    </w:p>
    <w:p w:rsidR="00B87565" w:rsidRPr="008556C4" w:rsidRDefault="000C4938" w:rsidP="00B87565">
      <w:pPr>
        <w:pStyle w:val="Nagwek4"/>
        <w:rPr>
          <w:b/>
          <w:lang w:val="pl-PL"/>
        </w:rPr>
      </w:pPr>
      <w:r w:rsidRPr="008556C4">
        <w:rPr>
          <w:b/>
          <w:lang w:val="pl-PL"/>
        </w:rPr>
        <w:t>O</w:t>
      </w:r>
      <w:r w:rsidR="00844810" w:rsidRPr="008556C4">
        <w:rPr>
          <w:b/>
          <w:lang w:val="pl-PL"/>
        </w:rPr>
        <w:t xml:space="preserve"> Grant Thornton</w:t>
      </w:r>
    </w:p>
    <w:p w:rsidR="000C4938" w:rsidRPr="000C4938" w:rsidRDefault="000C4938" w:rsidP="000C4938">
      <w:pPr>
        <w:pStyle w:val="Tekstpodstawowy"/>
        <w:rPr>
          <w:lang w:val="pl-PL"/>
        </w:rPr>
      </w:pPr>
      <w:r w:rsidRPr="000C4938">
        <w:rPr>
          <w:b/>
          <w:lang w:val="pl-PL"/>
        </w:rPr>
        <w:t>Grant Thornton</w:t>
      </w:r>
      <w:r w:rsidRPr="000C4938">
        <w:rPr>
          <w:lang w:val="pl-PL"/>
        </w:rPr>
        <w:t xml:space="preserve"> to jedna z wiodących organizacji audytorsko-doradczych na świecie. Wiedza, doświadczenie i zaangażowanie ponad 3 000 partnerów oraz 42 000 pracowników Grant Thornton dostępne są dla klientów w ponad 130 </w:t>
      </w:r>
      <w:r w:rsidR="0071541C">
        <w:rPr>
          <w:lang w:val="pl-PL"/>
        </w:rPr>
        <w:t>krajach. W Polsce działamy od 25 lat, a 550</w:t>
      </w:r>
      <w:r w:rsidRPr="000C4938">
        <w:rPr>
          <w:lang w:val="pl-PL"/>
        </w:rPr>
        <w:t xml:space="preserve"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2" w:history="1">
        <w:r w:rsidRPr="000C4938">
          <w:rPr>
            <w:rStyle w:val="Hipercze"/>
            <w:lang w:val="pl-PL"/>
          </w:rPr>
          <w:t>www.grantthornton.pl</w:t>
        </w:r>
      </w:hyperlink>
      <w:r w:rsidRPr="000C4938">
        <w:rPr>
          <w:lang w:val="pl-PL"/>
        </w:rPr>
        <w:t xml:space="preserve"> </w:t>
      </w:r>
    </w:p>
    <w:p w:rsidR="000C4938" w:rsidRPr="000C4938" w:rsidRDefault="000C4938" w:rsidP="000C4938">
      <w:pPr>
        <w:pStyle w:val="Tekstpodstawowy"/>
        <w:rPr>
          <w:u w:val="single"/>
          <w:lang w:val="pl-PL"/>
        </w:rPr>
      </w:pPr>
      <w:r w:rsidRPr="000C4938">
        <w:rPr>
          <w:b/>
          <w:lang w:val="pl-PL"/>
        </w:rPr>
        <w:t>Grant Thornton International Ltd</w:t>
      </w:r>
      <w:r w:rsidRPr="000C4938">
        <w:rPr>
          <w:lang w:val="pl-PL"/>
        </w:rPr>
        <w:t xml:space="preserve">. (GTI) jest jedną z wiodących światowych organizacji, zrzeszającą firmy księgowe i doradcze, oferujące usługi poświadczające, doradztwa podatkowego, a także udzielające specjalistycznych porad dla przedsiębiorców prywatnych i jednostek interesu publicznego. Więcej informacji na </w:t>
      </w:r>
      <w:hyperlink r:id="rId13" w:history="1">
        <w:r w:rsidRPr="000C4938">
          <w:rPr>
            <w:rStyle w:val="Hipercze"/>
            <w:lang w:val="pl-PL"/>
          </w:rPr>
          <w:t>www.gti.org</w:t>
        </w:r>
      </w:hyperlink>
    </w:p>
    <w:p w:rsidR="00C0271B" w:rsidRPr="00746775" w:rsidRDefault="00C0271B" w:rsidP="00302988">
      <w:pPr>
        <w:pStyle w:val="Tekstpodstawowy"/>
      </w:pPr>
    </w:p>
    <w:sectPr w:rsidR="00C0271B" w:rsidRPr="00746775" w:rsidSect="000C493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836" w:right="913" w:bottom="913" w:left="91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68" w:rsidRDefault="005F0F68">
      <w:r>
        <w:separator/>
      </w:r>
    </w:p>
  </w:endnote>
  <w:endnote w:type="continuationSeparator" w:id="0">
    <w:p w:rsidR="005F0F68" w:rsidRDefault="005F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B4" w:rsidRPr="00A211E0" w:rsidRDefault="00A211E0" w:rsidP="00695784">
    <w:pPr>
      <w:pStyle w:val="Stopka"/>
      <w:tabs>
        <w:tab w:val="clear" w:pos="8636"/>
        <w:tab w:val="right" w:pos="10415"/>
      </w:tabs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7F3C0B">
      <w:rPr>
        <w:noProof/>
      </w:rPr>
      <w:t>2017</w:t>
    </w:r>
    <w:r>
      <w:fldChar w:fldCharType="end"/>
    </w:r>
    <w:r w:rsidR="00E14F28">
      <w:t xml:space="preserve"> </w:t>
    </w:r>
    <w:r w:rsidR="00E14F28" w:rsidRPr="00E14F28">
      <w:t>Grant Thornton International Ltd.</w:t>
    </w:r>
    <w:r>
      <w:t xml:space="preserve">  All rights reserved.</w:t>
    </w:r>
    <w:r w:rsidR="000806B4" w:rsidRPr="00D01381">
      <w:rPr>
        <w:rStyle w:val="Numerstrony"/>
      </w:rPr>
      <w:fldChar w:fldCharType="begin"/>
    </w:r>
    <w:r w:rsidR="000806B4" w:rsidRPr="00D01381">
      <w:rPr>
        <w:rStyle w:val="Numerstrony"/>
      </w:rPr>
      <w:instrText xml:space="preserve"> PAGE   \* MERGEFORMAT </w:instrText>
    </w:r>
    <w:r w:rsidR="000806B4" w:rsidRPr="00D01381">
      <w:rPr>
        <w:rStyle w:val="Numerstrony"/>
      </w:rPr>
      <w:fldChar w:fldCharType="separate"/>
    </w:r>
    <w:r w:rsidR="001F586C">
      <w:rPr>
        <w:rStyle w:val="Numerstrony"/>
        <w:noProof/>
      </w:rPr>
      <w:t>3</w:t>
    </w:r>
    <w:r w:rsidR="000806B4" w:rsidRPr="00D01381">
      <w:rPr>
        <w:rStyle w:val="Numerstrony"/>
      </w:rPr>
      <w:fldChar w:fldCharType="end"/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6533EA" wp14:editId="7B855692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93DF9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B4" w:rsidRPr="00695784" w:rsidRDefault="00695784" w:rsidP="00695784">
    <w:pPr>
      <w:pStyle w:val="Stopka"/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7F3C0B">
      <w:rPr>
        <w:noProof/>
      </w:rPr>
      <w:t>2017</w:t>
    </w:r>
    <w:r>
      <w:fldChar w:fldCharType="end"/>
    </w:r>
    <w:r w:rsidR="00E14F28">
      <w:t xml:space="preserve"> </w:t>
    </w:r>
    <w:r w:rsidR="00E14F28" w:rsidRPr="00E14F28">
      <w:t>Grant Thornton International Ltd.</w:t>
    </w:r>
    <w:r>
      <w:t xml:space="preserve">  All rights reserved.</w:t>
    </w:r>
    <w:r w:rsidR="00D01381" w:rsidRPr="00D01381">
      <w:rPr>
        <w:noProof/>
        <w:lang w:eastAsia="en-GB"/>
      </w:rPr>
      <w:t xml:space="preserve"> </w:t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7D04B6E" wp14:editId="7CEA7554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2FAB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68" w:rsidRDefault="005F0F68">
      <w:bookmarkStart w:id="0" w:name="_Hlk482343305"/>
      <w:bookmarkEnd w:id="0"/>
      <w:r>
        <w:separator/>
      </w:r>
    </w:p>
  </w:footnote>
  <w:footnote w:type="continuationSeparator" w:id="0">
    <w:p w:rsidR="005F0F68" w:rsidRDefault="005F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142F32" w:rsidP="000806B4">
    <w:pPr>
      <w:pStyle w:val="Nagwek"/>
      <w:tabs>
        <w:tab w:val="clear" w:pos="8562"/>
        <w:tab w:val="right" w:pos="10348"/>
      </w:tabs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4258310</wp:posOffset>
          </wp:positionH>
          <wp:positionV relativeFrom="paragraph">
            <wp:posOffset>114300</wp:posOffset>
          </wp:positionV>
          <wp:extent cx="2040890" cy="1041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omet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285750</wp:posOffset>
          </wp:positionV>
          <wp:extent cx="2035810" cy="627380"/>
          <wp:effectExtent l="0" t="0" r="2540" b="1270"/>
          <wp:wrapNone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1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953135"/>
              <wp:effectExtent l="0" t="0" r="17780" b="1841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E0" w:firstRow="1" w:lastRow="1" w:firstColumn="1" w:lastColumn="0" w:noHBand="0" w:noVBand="1"/>
                          </w:tblPr>
                          <w:tblGrid>
                            <w:gridCol w:w="6117"/>
                          </w:tblGrid>
                          <w:tr w:rsidR="002A346F" w:rsidTr="00AE0450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1D0268" w:rsidP="004F5624">
                                <w:pPr>
                                  <w:spacing w:before="38"/>
                                  <w:ind w:left="43"/>
                                </w:pPr>
                                <w:bookmarkStart w:id="2" w:name="Cover_tbl"/>
                                <w:r>
                                  <w:rPr>
                                    <w:noProof/>
                                    <w:lang w:val="pl-PL" w:eastAsia="pl-PL"/>
                                  </w:rPr>
                                  <w:drawing>
                                    <wp:inline distT="0" distB="0" distL="0" distR="0">
                                      <wp:extent cx="2036068" cy="627889"/>
                                      <wp:effectExtent l="0" t="0" r="2540" b="1270"/>
                                      <wp:docPr id="6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T_Logo_METRIC_2017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6068" cy="627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2"/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8pt;margin-top:9.9pt;width:306.1pt;height:7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NrrQIAAKk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E0" w:firstRow="1" w:lastRow="1" w:firstColumn="1" w:lastColumn="0" w:noHBand="0" w:noVBand="1"/>
                    </w:tblPr>
                    <w:tblGrid>
                      <w:gridCol w:w="6117"/>
                    </w:tblGrid>
                    <w:tr w:rsidR="002A346F" w:rsidTr="00AE0450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1D0268" w:rsidP="004F5624">
                          <w:pPr>
                            <w:spacing w:before="38"/>
                            <w:ind w:left="43"/>
                          </w:pPr>
                          <w:bookmarkStart w:id="3" w:name="Cover_tbl"/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36068" cy="627889"/>
                                <wp:effectExtent l="0" t="0" r="2540" b="1270"/>
                                <wp:docPr id="6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T_Logo_METRIC_2017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6068" cy="627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3"/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</w:p>
  <w:p w:rsidR="002A346F" w:rsidRPr="009D3931" w:rsidRDefault="002A346F" w:rsidP="002A346F">
    <w:pPr>
      <w:pStyle w:val="Nagwek"/>
    </w:pP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2E80541"/>
    <w:multiLevelType w:val="hybridMultilevel"/>
    <w:tmpl w:val="0C04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235B21F8"/>
    <w:multiLevelType w:val="multilevel"/>
    <w:tmpl w:val="FAE6F968"/>
    <w:numStyleLink w:val="GTListBullet"/>
  </w:abstractNum>
  <w:abstractNum w:abstractNumId="11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5C91C25"/>
    <w:multiLevelType w:val="multilevel"/>
    <w:tmpl w:val="98FC98AC"/>
    <w:numStyleLink w:val="GTListNumber"/>
  </w:abstractNum>
  <w:abstractNum w:abstractNumId="13" w15:restartNumberingAfterBreak="0">
    <w:nsid w:val="3BA976CF"/>
    <w:multiLevelType w:val="multilevel"/>
    <w:tmpl w:val="98FC98AC"/>
    <w:numStyleLink w:val="GTListNumber"/>
  </w:abstractNum>
  <w:abstractNum w:abstractNumId="14" w15:restartNumberingAfterBreak="0">
    <w:nsid w:val="4CCA2BD4"/>
    <w:multiLevelType w:val="hybridMultilevel"/>
    <w:tmpl w:val="EC38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5DDB5E6E"/>
    <w:multiLevelType w:val="multilevel"/>
    <w:tmpl w:val="FAE6F968"/>
    <w:numStyleLink w:val="GTListBullet"/>
  </w:abstractNum>
  <w:abstractNum w:abstractNumId="17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7F924C95"/>
    <w:multiLevelType w:val="multilevel"/>
    <w:tmpl w:val="0D561ACA"/>
    <w:numStyleLink w:val="GTNumberedHeadings"/>
  </w:abstractNum>
  <w:num w:numId="1">
    <w:abstractNumId w:val="7"/>
  </w:num>
  <w:num w:numId="2">
    <w:abstractNumId w:val="5"/>
  </w:num>
  <w:num w:numId="3">
    <w:abstractNumId w:val="11"/>
  </w:num>
  <w:num w:numId="4">
    <w:abstractNumId w:val="1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8"/>
  </w:num>
  <w:num w:numId="24">
    <w:abstractNumId w:val="8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16"/>
  </w:num>
  <w:num w:numId="30">
    <w:abstractNumId w:val="16"/>
  </w:num>
  <w:num w:numId="31">
    <w:abstractNumId w:val="13"/>
  </w:num>
  <w:num w:numId="32">
    <w:abstractNumId w:val="13"/>
  </w:num>
  <w:num w:numId="33">
    <w:abstractNumId w:val="13"/>
  </w:num>
  <w:num w:numId="34">
    <w:abstractNumId w:val="6"/>
  </w:num>
  <w:num w:numId="3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7F3C0B"/>
    <w:rsid w:val="00012180"/>
    <w:rsid w:val="000262E7"/>
    <w:rsid w:val="00043B07"/>
    <w:rsid w:val="00043CEE"/>
    <w:rsid w:val="000701DD"/>
    <w:rsid w:val="00070700"/>
    <w:rsid w:val="00075731"/>
    <w:rsid w:val="000806B4"/>
    <w:rsid w:val="00080BC4"/>
    <w:rsid w:val="00094191"/>
    <w:rsid w:val="000A4BAF"/>
    <w:rsid w:val="000A68FB"/>
    <w:rsid w:val="000B057D"/>
    <w:rsid w:val="000B0ED9"/>
    <w:rsid w:val="000B475C"/>
    <w:rsid w:val="000C0104"/>
    <w:rsid w:val="000C1BD5"/>
    <w:rsid w:val="000C4938"/>
    <w:rsid w:val="000D06D5"/>
    <w:rsid w:val="000D16D9"/>
    <w:rsid w:val="000D618C"/>
    <w:rsid w:val="000E05DA"/>
    <w:rsid w:val="000E7B26"/>
    <w:rsid w:val="000F4735"/>
    <w:rsid w:val="00111187"/>
    <w:rsid w:val="00113F29"/>
    <w:rsid w:val="001237E5"/>
    <w:rsid w:val="00125D84"/>
    <w:rsid w:val="001260ED"/>
    <w:rsid w:val="00136673"/>
    <w:rsid w:val="00142F32"/>
    <w:rsid w:val="00147730"/>
    <w:rsid w:val="00150A84"/>
    <w:rsid w:val="00152D0A"/>
    <w:rsid w:val="00157D72"/>
    <w:rsid w:val="001611CC"/>
    <w:rsid w:val="00170523"/>
    <w:rsid w:val="00185249"/>
    <w:rsid w:val="001878B4"/>
    <w:rsid w:val="001A359E"/>
    <w:rsid w:val="001A6EA7"/>
    <w:rsid w:val="001B3754"/>
    <w:rsid w:val="001B475A"/>
    <w:rsid w:val="001B565D"/>
    <w:rsid w:val="001D0268"/>
    <w:rsid w:val="001D1A4F"/>
    <w:rsid w:val="001D25C7"/>
    <w:rsid w:val="001D4ECE"/>
    <w:rsid w:val="001D5E0E"/>
    <w:rsid w:val="001E511F"/>
    <w:rsid w:val="001F547C"/>
    <w:rsid w:val="001F586C"/>
    <w:rsid w:val="001F640F"/>
    <w:rsid w:val="00214BDC"/>
    <w:rsid w:val="00215284"/>
    <w:rsid w:val="00217CF3"/>
    <w:rsid w:val="00236078"/>
    <w:rsid w:val="0023771B"/>
    <w:rsid w:val="0024233F"/>
    <w:rsid w:val="00250C94"/>
    <w:rsid w:val="00253326"/>
    <w:rsid w:val="00256DE5"/>
    <w:rsid w:val="00277011"/>
    <w:rsid w:val="00277D6E"/>
    <w:rsid w:val="00285A51"/>
    <w:rsid w:val="002860E1"/>
    <w:rsid w:val="002A2778"/>
    <w:rsid w:val="002A346F"/>
    <w:rsid w:val="002B2BEF"/>
    <w:rsid w:val="002B57EC"/>
    <w:rsid w:val="002C366F"/>
    <w:rsid w:val="002C5EBF"/>
    <w:rsid w:val="002D2F38"/>
    <w:rsid w:val="002D6C36"/>
    <w:rsid w:val="002E6DE5"/>
    <w:rsid w:val="00300DA4"/>
    <w:rsid w:val="00302988"/>
    <w:rsid w:val="00320D93"/>
    <w:rsid w:val="003257A9"/>
    <w:rsid w:val="00327CD1"/>
    <w:rsid w:val="00346845"/>
    <w:rsid w:val="00361CB6"/>
    <w:rsid w:val="00367A05"/>
    <w:rsid w:val="00367E2A"/>
    <w:rsid w:val="00377BC2"/>
    <w:rsid w:val="0038021A"/>
    <w:rsid w:val="00381B5F"/>
    <w:rsid w:val="00387218"/>
    <w:rsid w:val="00393F03"/>
    <w:rsid w:val="003A40B6"/>
    <w:rsid w:val="003A55D9"/>
    <w:rsid w:val="003D5290"/>
    <w:rsid w:val="003F54DC"/>
    <w:rsid w:val="00410A95"/>
    <w:rsid w:val="00413761"/>
    <w:rsid w:val="00416571"/>
    <w:rsid w:val="00417B58"/>
    <w:rsid w:val="00421866"/>
    <w:rsid w:val="004478E4"/>
    <w:rsid w:val="00452223"/>
    <w:rsid w:val="00454B89"/>
    <w:rsid w:val="00454EE9"/>
    <w:rsid w:val="00460B37"/>
    <w:rsid w:val="0048296D"/>
    <w:rsid w:val="004839D9"/>
    <w:rsid w:val="00486D88"/>
    <w:rsid w:val="004A12AC"/>
    <w:rsid w:val="004A3A67"/>
    <w:rsid w:val="004A4534"/>
    <w:rsid w:val="004B2BE4"/>
    <w:rsid w:val="004C2F65"/>
    <w:rsid w:val="004C3BDF"/>
    <w:rsid w:val="004D4905"/>
    <w:rsid w:val="004E3D60"/>
    <w:rsid w:val="004E55EF"/>
    <w:rsid w:val="004E5FFB"/>
    <w:rsid w:val="004F55CE"/>
    <w:rsid w:val="00503485"/>
    <w:rsid w:val="00506CA4"/>
    <w:rsid w:val="005200B4"/>
    <w:rsid w:val="005220CB"/>
    <w:rsid w:val="00525C51"/>
    <w:rsid w:val="00556308"/>
    <w:rsid w:val="005634A7"/>
    <w:rsid w:val="00565EE2"/>
    <w:rsid w:val="00566DFB"/>
    <w:rsid w:val="005678AB"/>
    <w:rsid w:val="005713AD"/>
    <w:rsid w:val="00581776"/>
    <w:rsid w:val="00590357"/>
    <w:rsid w:val="00590A39"/>
    <w:rsid w:val="00597E0D"/>
    <w:rsid w:val="005A0857"/>
    <w:rsid w:val="005A2D44"/>
    <w:rsid w:val="005A5CEC"/>
    <w:rsid w:val="005A7B1F"/>
    <w:rsid w:val="005B105D"/>
    <w:rsid w:val="005B4D54"/>
    <w:rsid w:val="005C01A8"/>
    <w:rsid w:val="005E278A"/>
    <w:rsid w:val="005E4EF5"/>
    <w:rsid w:val="005F0F68"/>
    <w:rsid w:val="005F575C"/>
    <w:rsid w:val="005F7CD0"/>
    <w:rsid w:val="00610ED7"/>
    <w:rsid w:val="0062048C"/>
    <w:rsid w:val="00621FC6"/>
    <w:rsid w:val="00625597"/>
    <w:rsid w:val="00635CE5"/>
    <w:rsid w:val="00642404"/>
    <w:rsid w:val="00645F35"/>
    <w:rsid w:val="00654DC1"/>
    <w:rsid w:val="00654EED"/>
    <w:rsid w:val="006639F8"/>
    <w:rsid w:val="006661DB"/>
    <w:rsid w:val="00666CDC"/>
    <w:rsid w:val="00686BF8"/>
    <w:rsid w:val="00695784"/>
    <w:rsid w:val="006A72A4"/>
    <w:rsid w:val="006B4C80"/>
    <w:rsid w:val="006C02C9"/>
    <w:rsid w:val="006C2380"/>
    <w:rsid w:val="006D75F0"/>
    <w:rsid w:val="006E58E5"/>
    <w:rsid w:val="006F016B"/>
    <w:rsid w:val="00703716"/>
    <w:rsid w:val="00710BA8"/>
    <w:rsid w:val="0071541C"/>
    <w:rsid w:val="0072018B"/>
    <w:rsid w:val="00726ADE"/>
    <w:rsid w:val="0072791F"/>
    <w:rsid w:val="0073386D"/>
    <w:rsid w:val="007458F9"/>
    <w:rsid w:val="00746775"/>
    <w:rsid w:val="00753038"/>
    <w:rsid w:val="007578FC"/>
    <w:rsid w:val="00760EC0"/>
    <w:rsid w:val="007618B5"/>
    <w:rsid w:val="007719F4"/>
    <w:rsid w:val="00771DEC"/>
    <w:rsid w:val="007769A1"/>
    <w:rsid w:val="00784FF6"/>
    <w:rsid w:val="007856A9"/>
    <w:rsid w:val="00785E49"/>
    <w:rsid w:val="007A1C0B"/>
    <w:rsid w:val="007A294A"/>
    <w:rsid w:val="007B27A6"/>
    <w:rsid w:val="007B4C13"/>
    <w:rsid w:val="007C1962"/>
    <w:rsid w:val="007D2ED2"/>
    <w:rsid w:val="007D6C93"/>
    <w:rsid w:val="007E66D0"/>
    <w:rsid w:val="007F3C0B"/>
    <w:rsid w:val="00812F8E"/>
    <w:rsid w:val="00813F04"/>
    <w:rsid w:val="00814D12"/>
    <w:rsid w:val="00814DDF"/>
    <w:rsid w:val="00842EDD"/>
    <w:rsid w:val="00844810"/>
    <w:rsid w:val="00851A1A"/>
    <w:rsid w:val="008556C4"/>
    <w:rsid w:val="008600CC"/>
    <w:rsid w:val="00866AAB"/>
    <w:rsid w:val="00867DA5"/>
    <w:rsid w:val="0087247B"/>
    <w:rsid w:val="008804A2"/>
    <w:rsid w:val="008C209A"/>
    <w:rsid w:val="008D1054"/>
    <w:rsid w:val="008D455E"/>
    <w:rsid w:val="008D74D6"/>
    <w:rsid w:val="008F6165"/>
    <w:rsid w:val="009060D1"/>
    <w:rsid w:val="009212C4"/>
    <w:rsid w:val="009261A6"/>
    <w:rsid w:val="00932AD9"/>
    <w:rsid w:val="009426E2"/>
    <w:rsid w:val="009607A2"/>
    <w:rsid w:val="00963742"/>
    <w:rsid w:val="0096530C"/>
    <w:rsid w:val="00965F67"/>
    <w:rsid w:val="00966C88"/>
    <w:rsid w:val="009816B3"/>
    <w:rsid w:val="0098693F"/>
    <w:rsid w:val="00987602"/>
    <w:rsid w:val="00990955"/>
    <w:rsid w:val="009A6E18"/>
    <w:rsid w:val="009B1AF3"/>
    <w:rsid w:val="009B52BD"/>
    <w:rsid w:val="009C2067"/>
    <w:rsid w:val="009C283F"/>
    <w:rsid w:val="009C3CB0"/>
    <w:rsid w:val="009C525E"/>
    <w:rsid w:val="009C6571"/>
    <w:rsid w:val="009C6D04"/>
    <w:rsid w:val="009D6F6C"/>
    <w:rsid w:val="009E4066"/>
    <w:rsid w:val="009E6EF3"/>
    <w:rsid w:val="009E7B56"/>
    <w:rsid w:val="00A01F63"/>
    <w:rsid w:val="00A17BF8"/>
    <w:rsid w:val="00A211E0"/>
    <w:rsid w:val="00A3383B"/>
    <w:rsid w:val="00A46D22"/>
    <w:rsid w:val="00A50B72"/>
    <w:rsid w:val="00A64061"/>
    <w:rsid w:val="00A66DF2"/>
    <w:rsid w:val="00A73BB7"/>
    <w:rsid w:val="00A84CA5"/>
    <w:rsid w:val="00A86935"/>
    <w:rsid w:val="00A90C1B"/>
    <w:rsid w:val="00A924C3"/>
    <w:rsid w:val="00AA4DA3"/>
    <w:rsid w:val="00AA694E"/>
    <w:rsid w:val="00AB5EEF"/>
    <w:rsid w:val="00AC3EC8"/>
    <w:rsid w:val="00AC6748"/>
    <w:rsid w:val="00AC75E6"/>
    <w:rsid w:val="00AD053A"/>
    <w:rsid w:val="00AD14A0"/>
    <w:rsid w:val="00AD1D13"/>
    <w:rsid w:val="00AD7D97"/>
    <w:rsid w:val="00AE0450"/>
    <w:rsid w:val="00AE48E5"/>
    <w:rsid w:val="00AF415D"/>
    <w:rsid w:val="00B01A7F"/>
    <w:rsid w:val="00B035A1"/>
    <w:rsid w:val="00B1586F"/>
    <w:rsid w:val="00B158C4"/>
    <w:rsid w:val="00B23987"/>
    <w:rsid w:val="00B33EA0"/>
    <w:rsid w:val="00B35DE8"/>
    <w:rsid w:val="00B4319E"/>
    <w:rsid w:val="00B44D7D"/>
    <w:rsid w:val="00B54C3E"/>
    <w:rsid w:val="00B55FA2"/>
    <w:rsid w:val="00B63757"/>
    <w:rsid w:val="00B663BE"/>
    <w:rsid w:val="00B72A99"/>
    <w:rsid w:val="00B7324A"/>
    <w:rsid w:val="00B857BF"/>
    <w:rsid w:val="00B87565"/>
    <w:rsid w:val="00B91EA2"/>
    <w:rsid w:val="00B96ED3"/>
    <w:rsid w:val="00BA2F71"/>
    <w:rsid w:val="00BA30F1"/>
    <w:rsid w:val="00BB3FBB"/>
    <w:rsid w:val="00BD000B"/>
    <w:rsid w:val="00BD67D8"/>
    <w:rsid w:val="00BE1BA2"/>
    <w:rsid w:val="00C0032B"/>
    <w:rsid w:val="00C007BF"/>
    <w:rsid w:val="00C0206F"/>
    <w:rsid w:val="00C0271B"/>
    <w:rsid w:val="00C03998"/>
    <w:rsid w:val="00C04FB3"/>
    <w:rsid w:val="00C100A6"/>
    <w:rsid w:val="00C14EB9"/>
    <w:rsid w:val="00C1606F"/>
    <w:rsid w:val="00C227DC"/>
    <w:rsid w:val="00C23D87"/>
    <w:rsid w:val="00C305E3"/>
    <w:rsid w:val="00C36308"/>
    <w:rsid w:val="00C43EBA"/>
    <w:rsid w:val="00C46435"/>
    <w:rsid w:val="00C47E18"/>
    <w:rsid w:val="00C54674"/>
    <w:rsid w:val="00C568CA"/>
    <w:rsid w:val="00C64B87"/>
    <w:rsid w:val="00C72B62"/>
    <w:rsid w:val="00C73F93"/>
    <w:rsid w:val="00C77402"/>
    <w:rsid w:val="00C80A81"/>
    <w:rsid w:val="00C84666"/>
    <w:rsid w:val="00C87ED0"/>
    <w:rsid w:val="00C925AA"/>
    <w:rsid w:val="00C94E43"/>
    <w:rsid w:val="00C96606"/>
    <w:rsid w:val="00CA42C5"/>
    <w:rsid w:val="00CA7159"/>
    <w:rsid w:val="00CB7BF7"/>
    <w:rsid w:val="00CC1A63"/>
    <w:rsid w:val="00CC3603"/>
    <w:rsid w:val="00CD0787"/>
    <w:rsid w:val="00CD0E68"/>
    <w:rsid w:val="00CD24B6"/>
    <w:rsid w:val="00CD6259"/>
    <w:rsid w:val="00CE47B3"/>
    <w:rsid w:val="00CF076A"/>
    <w:rsid w:val="00D00C82"/>
    <w:rsid w:val="00D01381"/>
    <w:rsid w:val="00D067EF"/>
    <w:rsid w:val="00D14BEE"/>
    <w:rsid w:val="00D15A50"/>
    <w:rsid w:val="00D16F2A"/>
    <w:rsid w:val="00D17968"/>
    <w:rsid w:val="00D27833"/>
    <w:rsid w:val="00D30B9E"/>
    <w:rsid w:val="00D30BF4"/>
    <w:rsid w:val="00D36C60"/>
    <w:rsid w:val="00D41D52"/>
    <w:rsid w:val="00D51146"/>
    <w:rsid w:val="00D57C7C"/>
    <w:rsid w:val="00D64BAE"/>
    <w:rsid w:val="00D73DE6"/>
    <w:rsid w:val="00D80C66"/>
    <w:rsid w:val="00D86758"/>
    <w:rsid w:val="00D8712F"/>
    <w:rsid w:val="00D87FFC"/>
    <w:rsid w:val="00D9732D"/>
    <w:rsid w:val="00DA3CDE"/>
    <w:rsid w:val="00DA573D"/>
    <w:rsid w:val="00DA5B3C"/>
    <w:rsid w:val="00DA5EB8"/>
    <w:rsid w:val="00DA7987"/>
    <w:rsid w:val="00DB61FF"/>
    <w:rsid w:val="00DD2D6F"/>
    <w:rsid w:val="00DD5DC9"/>
    <w:rsid w:val="00DE1472"/>
    <w:rsid w:val="00DE2030"/>
    <w:rsid w:val="00DE2C37"/>
    <w:rsid w:val="00DE6A98"/>
    <w:rsid w:val="00E0428A"/>
    <w:rsid w:val="00E12A0E"/>
    <w:rsid w:val="00E14D91"/>
    <w:rsid w:val="00E14F28"/>
    <w:rsid w:val="00E25946"/>
    <w:rsid w:val="00E30AB7"/>
    <w:rsid w:val="00E3776A"/>
    <w:rsid w:val="00E37C87"/>
    <w:rsid w:val="00E606CF"/>
    <w:rsid w:val="00E62DFD"/>
    <w:rsid w:val="00E630EA"/>
    <w:rsid w:val="00E63519"/>
    <w:rsid w:val="00E64660"/>
    <w:rsid w:val="00E71CC8"/>
    <w:rsid w:val="00E76712"/>
    <w:rsid w:val="00E80098"/>
    <w:rsid w:val="00E84C56"/>
    <w:rsid w:val="00E94767"/>
    <w:rsid w:val="00E97F7E"/>
    <w:rsid w:val="00EA3E17"/>
    <w:rsid w:val="00EA4301"/>
    <w:rsid w:val="00EB0FFE"/>
    <w:rsid w:val="00EB654E"/>
    <w:rsid w:val="00EB6573"/>
    <w:rsid w:val="00EB6B5B"/>
    <w:rsid w:val="00EB778B"/>
    <w:rsid w:val="00EC43C6"/>
    <w:rsid w:val="00EC550B"/>
    <w:rsid w:val="00ED0E2A"/>
    <w:rsid w:val="00ED1546"/>
    <w:rsid w:val="00ED3BAF"/>
    <w:rsid w:val="00EF14FE"/>
    <w:rsid w:val="00F01D78"/>
    <w:rsid w:val="00F03413"/>
    <w:rsid w:val="00F04BDC"/>
    <w:rsid w:val="00F10F54"/>
    <w:rsid w:val="00F17F9C"/>
    <w:rsid w:val="00F21DF1"/>
    <w:rsid w:val="00F2527E"/>
    <w:rsid w:val="00F46B2C"/>
    <w:rsid w:val="00F57313"/>
    <w:rsid w:val="00F639C6"/>
    <w:rsid w:val="00F641F1"/>
    <w:rsid w:val="00F72D14"/>
    <w:rsid w:val="00F7669E"/>
    <w:rsid w:val="00FA68B5"/>
    <w:rsid w:val="00FA7CEE"/>
    <w:rsid w:val="00FB110F"/>
    <w:rsid w:val="00FB5C2C"/>
    <w:rsid w:val="00FC314D"/>
    <w:rsid w:val="00FD6B9C"/>
    <w:rsid w:val="00FE1702"/>
    <w:rsid w:val="00FE2AA7"/>
    <w:rsid w:val="00FE3D7F"/>
    <w:rsid w:val="00FF1AF3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957DA"/>
  <w15:docId w15:val="{8AFAF494-EC6F-41A6-AFF4-8BBB844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01381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t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rantthornton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0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rometrPraw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appdata\roaming\microsoft\szablony\GT_Word_Templates\A4\Press%20Releas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4F2D7F"/>
              </a:solidFill>
              <a:round/>
            </a:ln>
            <a:effectLst/>
          </c:spPr>
          <c:marker>
            <c:symbol val="none"/>
          </c:marker>
          <c:dPt>
            <c:idx val="30"/>
            <c:marker>
              <c:symbol val="none"/>
            </c:marker>
            <c:bubble3D val="0"/>
            <c:spPr>
              <a:ln w="28575" cap="rnd">
                <a:solidFill>
                  <a:srgbClr val="00A1B5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63E-41C5-A628-2EA9F8D7461F}"/>
              </c:ext>
            </c:extLst>
          </c:dPt>
          <c:dLbls>
            <c:dLbl>
              <c:idx val="30"/>
              <c:layout>
                <c:manualLayout>
                  <c:x val="-6.974220699636895E-3"/>
                  <c:y val="-0.10237459031288237"/>
                </c:manualLayout>
              </c:layout>
              <c:tx>
                <c:rich>
                  <a:bodyPr/>
                  <a:lstStyle/>
                  <a:p>
                    <a:fld id="{D344CCEE-0AC9-4DD8-A40B-EA9E5C9B5F0D}" type="VALUE">
                      <a:rPr lang="en-US" b="1">
                        <a:solidFill>
                          <a:srgbClr val="00A1B5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[WARTOŚĆ]</a:t>
                    </a:fld>
                    <a:endParaRPr lang="en-US" b="1">
                      <a:solidFill>
                        <a:srgbClr val="00A1B5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  <a:p>
                    <a:r>
                      <a:rPr lang="en-US" sz="700" b="0">
                        <a:solidFill>
                          <a:schemeClr val="tx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(+5,9%)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63E-41C5-A628-2EA9F8D7461F}"/>
                </c:ext>
              </c:extLst>
            </c:dLbl>
            <c:spPr>
              <a:noFill/>
              <a:ln w="19050">
                <a:solidFill>
                  <a:srgbClr val="00A1B5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Arkusz1!$A$5:$A$35</c:f>
              <c:strCache>
                <c:ptCount val="3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  <c:pt idx="30">
                  <c:v>2019*</c:v>
                </c:pt>
              </c:strCache>
            </c:strRef>
          </c:cat>
          <c:val>
            <c:numRef>
              <c:f>Arkusz1!$B$5:$B$35</c:f>
              <c:numCache>
                <c:formatCode>General</c:formatCode>
                <c:ptCount val="31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7016</c:v>
                </c:pt>
                <c:pt idx="12">
                  <c:v>12491</c:v>
                </c:pt>
                <c:pt idx="13">
                  <c:v>15019</c:v>
                </c:pt>
                <c:pt idx="14">
                  <c:v>15742</c:v>
                </c:pt>
                <c:pt idx="15">
                  <c:v>20059</c:v>
                </c:pt>
                <c:pt idx="16">
                  <c:v>16587</c:v>
                </c:pt>
                <c:pt idx="17">
                  <c:v>12033</c:v>
                </c:pt>
                <c:pt idx="18">
                  <c:v>16631</c:v>
                </c:pt>
                <c:pt idx="19">
                  <c:v>12654</c:v>
                </c:pt>
                <c:pt idx="20">
                  <c:v>17423</c:v>
                </c:pt>
                <c:pt idx="21">
                  <c:v>16893</c:v>
                </c:pt>
                <c:pt idx="22">
                  <c:v>16387</c:v>
                </c:pt>
                <c:pt idx="23">
                  <c:v>20049</c:v>
                </c:pt>
                <c:pt idx="24">
                  <c:v>20712</c:v>
                </c:pt>
                <c:pt idx="25">
                  <c:v>20434</c:v>
                </c:pt>
                <c:pt idx="26">
                  <c:v>24781</c:v>
                </c:pt>
                <c:pt idx="27" formatCode="0">
                  <c:v>35280</c:v>
                </c:pt>
                <c:pt idx="28" formatCode="0">
                  <c:v>23681</c:v>
                </c:pt>
                <c:pt idx="29" formatCode="0">
                  <c:v>20325</c:v>
                </c:pt>
                <c:pt idx="30">
                  <c:v>21524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3E-41C5-A628-2EA9F8D74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7886079"/>
        <c:axId val="326246063"/>
      </c:lineChart>
      <c:catAx>
        <c:axId val="417886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26246063"/>
        <c:crosses val="autoZero"/>
        <c:auto val="1"/>
        <c:lblAlgn val="ctr"/>
        <c:lblOffset val="100"/>
        <c:noMultiLvlLbl val="0"/>
      </c:catAx>
      <c:valAx>
        <c:axId val="3262460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17886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'stara vs nowa'!$B$1</c:f>
              <c:strCache>
                <c:ptCount val="1"/>
                <c:pt idx="0">
                  <c:v>Dotychczasowe wyniki</c:v>
                </c:pt>
              </c:strCache>
            </c:strRef>
          </c:tx>
          <c:spPr>
            <a:ln w="28575" cap="rnd">
              <a:solidFill>
                <a:srgbClr val="4F2D7F"/>
              </a:solidFill>
              <a:round/>
            </a:ln>
            <a:effectLst/>
          </c:spPr>
          <c:marker>
            <c:symbol val="none"/>
          </c:marker>
          <c:cat>
            <c:strRef>
              <c:f>'stara vs nowa'!$A$2:$A$31</c:f>
              <c:strCache>
                <c:ptCount val="3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</c:strCache>
            </c:strRef>
          </c:cat>
          <c:val>
            <c:numRef>
              <c:f>'stara vs nowa'!$B$2:$B$31</c:f>
              <c:numCache>
                <c:formatCode>General</c:formatCode>
                <c:ptCount val="30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7456</c:v>
                </c:pt>
                <c:pt idx="12">
                  <c:v>13132</c:v>
                </c:pt>
                <c:pt idx="13">
                  <c:v>16020</c:v>
                </c:pt>
                <c:pt idx="14">
                  <c:v>16456</c:v>
                </c:pt>
                <c:pt idx="15">
                  <c:v>21034</c:v>
                </c:pt>
                <c:pt idx="16">
                  <c:v>17612</c:v>
                </c:pt>
                <c:pt idx="17">
                  <c:v>12936</c:v>
                </c:pt>
                <c:pt idx="18">
                  <c:v>17988</c:v>
                </c:pt>
                <c:pt idx="19">
                  <c:v>13724</c:v>
                </c:pt>
                <c:pt idx="20">
                  <c:v>18352</c:v>
                </c:pt>
                <c:pt idx="21">
                  <c:v>18246</c:v>
                </c:pt>
                <c:pt idx="22">
                  <c:v>17484</c:v>
                </c:pt>
                <c:pt idx="23">
                  <c:v>19761</c:v>
                </c:pt>
                <c:pt idx="24">
                  <c:v>22986</c:v>
                </c:pt>
                <c:pt idx="25">
                  <c:v>25634</c:v>
                </c:pt>
                <c:pt idx="26">
                  <c:v>29843</c:v>
                </c:pt>
                <c:pt idx="27" formatCode="0">
                  <c:v>31906</c:v>
                </c:pt>
                <c:pt idx="28" formatCode="0">
                  <c:v>27118</c:v>
                </c:pt>
                <c:pt idx="29" formatCode="#,##0">
                  <c:v>14641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8A-49B6-A8E2-2D35D7D9864F}"/>
            </c:ext>
          </c:extLst>
        </c:ser>
        <c:ser>
          <c:idx val="1"/>
          <c:order val="1"/>
          <c:tx>
            <c:strRef>
              <c:f>'stara vs nowa'!$C$1</c:f>
              <c:strCache>
                <c:ptCount val="1"/>
                <c:pt idx="0">
                  <c:v>Wyniki po dostosowaniu metodologii</c:v>
                </c:pt>
              </c:strCache>
            </c:strRef>
          </c:tx>
          <c:spPr>
            <a:ln w="28575" cap="rnd">
              <a:solidFill>
                <a:srgbClr val="00A1B5"/>
              </a:solidFill>
              <a:round/>
            </a:ln>
            <a:effectLst/>
          </c:spPr>
          <c:marker>
            <c:symbol val="none"/>
          </c:marker>
          <c:cat>
            <c:strRef>
              <c:f>'stara vs nowa'!$A$2:$A$31</c:f>
              <c:strCache>
                <c:ptCount val="3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</c:strCache>
            </c:strRef>
          </c:cat>
          <c:val>
            <c:numRef>
              <c:f>'stara vs nowa'!$C$2:$C$31</c:f>
              <c:numCache>
                <c:formatCode>General</c:formatCode>
                <c:ptCount val="30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7016</c:v>
                </c:pt>
                <c:pt idx="12">
                  <c:v>12491</c:v>
                </c:pt>
                <c:pt idx="13">
                  <c:v>15019</c:v>
                </c:pt>
                <c:pt idx="14">
                  <c:v>15742</c:v>
                </c:pt>
                <c:pt idx="15">
                  <c:v>20059</c:v>
                </c:pt>
                <c:pt idx="16">
                  <c:v>16587</c:v>
                </c:pt>
                <c:pt idx="17">
                  <c:v>12033</c:v>
                </c:pt>
                <c:pt idx="18">
                  <c:v>16631</c:v>
                </c:pt>
                <c:pt idx="19">
                  <c:v>12654</c:v>
                </c:pt>
                <c:pt idx="20">
                  <c:v>17423</c:v>
                </c:pt>
                <c:pt idx="21">
                  <c:v>16893</c:v>
                </c:pt>
                <c:pt idx="22" formatCode="#,##0">
                  <c:v>16387</c:v>
                </c:pt>
                <c:pt idx="23">
                  <c:v>20049</c:v>
                </c:pt>
                <c:pt idx="24">
                  <c:v>20712</c:v>
                </c:pt>
                <c:pt idx="25">
                  <c:v>20434</c:v>
                </c:pt>
                <c:pt idx="26">
                  <c:v>24781</c:v>
                </c:pt>
                <c:pt idx="27" formatCode="0">
                  <c:v>35280</c:v>
                </c:pt>
                <c:pt idx="28" formatCode="0">
                  <c:v>23681</c:v>
                </c:pt>
                <c:pt idx="29" formatCode="0">
                  <c:v>20325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8A-49B6-A8E2-2D35D7D98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3503983"/>
        <c:axId val="613490255"/>
      </c:lineChart>
      <c:catAx>
        <c:axId val="613503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13490255"/>
        <c:crosses val="autoZero"/>
        <c:auto val="1"/>
        <c:lblAlgn val="ctr"/>
        <c:lblOffset val="100"/>
        <c:noMultiLvlLbl val="0"/>
      </c:catAx>
      <c:valAx>
        <c:axId val="6134902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13503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'stara vs nowa'!$B$1</c:f>
              <c:strCache>
                <c:ptCount val="1"/>
                <c:pt idx="0">
                  <c:v>Dotychczasowe wyniki</c:v>
                </c:pt>
              </c:strCache>
            </c:strRef>
          </c:tx>
          <c:spPr>
            <a:ln w="28575" cap="rnd">
              <a:solidFill>
                <a:srgbClr val="4F2D7F"/>
              </a:solidFill>
              <a:round/>
            </a:ln>
            <a:effectLst/>
          </c:spPr>
          <c:marker>
            <c:symbol val="none"/>
          </c:marker>
          <c:cat>
            <c:strRef>
              <c:f>'stara vs nowa'!$A$2:$A$31</c:f>
              <c:strCache>
                <c:ptCount val="3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</c:strCache>
            </c:strRef>
          </c:cat>
          <c:val>
            <c:numRef>
              <c:f>'stara vs nowa'!$B$2:$B$31</c:f>
              <c:numCache>
                <c:formatCode>General</c:formatCode>
                <c:ptCount val="30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7456</c:v>
                </c:pt>
                <c:pt idx="12">
                  <c:v>13132</c:v>
                </c:pt>
                <c:pt idx="13">
                  <c:v>16020</c:v>
                </c:pt>
                <c:pt idx="14">
                  <c:v>16456</c:v>
                </c:pt>
                <c:pt idx="15">
                  <c:v>21034</c:v>
                </c:pt>
                <c:pt idx="16">
                  <c:v>17612</c:v>
                </c:pt>
                <c:pt idx="17">
                  <c:v>12936</c:v>
                </c:pt>
                <c:pt idx="18">
                  <c:v>17988</c:v>
                </c:pt>
                <c:pt idx="19">
                  <c:v>13724</c:v>
                </c:pt>
                <c:pt idx="20">
                  <c:v>18352</c:v>
                </c:pt>
                <c:pt idx="21">
                  <c:v>18246</c:v>
                </c:pt>
                <c:pt idx="22">
                  <c:v>17484</c:v>
                </c:pt>
                <c:pt idx="23">
                  <c:v>19761</c:v>
                </c:pt>
                <c:pt idx="24">
                  <c:v>22986</c:v>
                </c:pt>
                <c:pt idx="25">
                  <c:v>25634</c:v>
                </c:pt>
                <c:pt idx="26">
                  <c:v>29843</c:v>
                </c:pt>
                <c:pt idx="27" formatCode="0">
                  <c:v>31906</c:v>
                </c:pt>
                <c:pt idx="28" formatCode="0">
                  <c:v>27118</c:v>
                </c:pt>
                <c:pt idx="29" formatCode="#,##0">
                  <c:v>14641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8A-49B6-A8E2-2D35D7D9864F}"/>
            </c:ext>
          </c:extLst>
        </c:ser>
        <c:ser>
          <c:idx val="1"/>
          <c:order val="1"/>
          <c:tx>
            <c:strRef>
              <c:f>'stara vs nowa'!$C$1</c:f>
              <c:strCache>
                <c:ptCount val="1"/>
                <c:pt idx="0">
                  <c:v>Wyniki po dostosowaniu metodologii</c:v>
                </c:pt>
              </c:strCache>
            </c:strRef>
          </c:tx>
          <c:spPr>
            <a:ln w="28575" cap="rnd">
              <a:solidFill>
                <a:srgbClr val="00A1B5"/>
              </a:solidFill>
              <a:round/>
            </a:ln>
            <a:effectLst/>
          </c:spPr>
          <c:marker>
            <c:symbol val="none"/>
          </c:marker>
          <c:cat>
            <c:strRef>
              <c:f>'stara vs nowa'!$A$2:$A$31</c:f>
              <c:strCache>
                <c:ptCount val="3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</c:strCache>
            </c:strRef>
          </c:cat>
          <c:val>
            <c:numRef>
              <c:f>'stara vs nowa'!$C$2:$C$31</c:f>
              <c:numCache>
                <c:formatCode>General</c:formatCode>
                <c:ptCount val="30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7016</c:v>
                </c:pt>
                <c:pt idx="12">
                  <c:v>12491</c:v>
                </c:pt>
                <c:pt idx="13">
                  <c:v>15019</c:v>
                </c:pt>
                <c:pt idx="14">
                  <c:v>15742</c:v>
                </c:pt>
                <c:pt idx="15">
                  <c:v>20059</c:v>
                </c:pt>
                <c:pt idx="16">
                  <c:v>16587</c:v>
                </c:pt>
                <c:pt idx="17">
                  <c:v>12033</c:v>
                </c:pt>
                <c:pt idx="18">
                  <c:v>16631</c:v>
                </c:pt>
                <c:pt idx="19">
                  <c:v>12654</c:v>
                </c:pt>
                <c:pt idx="20">
                  <c:v>17423</c:v>
                </c:pt>
                <c:pt idx="21">
                  <c:v>16893</c:v>
                </c:pt>
                <c:pt idx="22" formatCode="#,##0">
                  <c:v>16387</c:v>
                </c:pt>
                <c:pt idx="23">
                  <c:v>20049</c:v>
                </c:pt>
                <c:pt idx="24">
                  <c:v>20712</c:v>
                </c:pt>
                <c:pt idx="25">
                  <c:v>20434</c:v>
                </c:pt>
                <c:pt idx="26">
                  <c:v>24781</c:v>
                </c:pt>
                <c:pt idx="27" formatCode="0">
                  <c:v>35280</c:v>
                </c:pt>
                <c:pt idx="28" formatCode="0">
                  <c:v>23681</c:v>
                </c:pt>
                <c:pt idx="29" formatCode="0">
                  <c:v>20325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8A-49B6-A8E2-2D35D7D98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3503983"/>
        <c:axId val="613490255"/>
      </c:lineChart>
      <c:catAx>
        <c:axId val="613503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13490255"/>
        <c:crosses val="autoZero"/>
        <c:auto val="1"/>
        <c:lblAlgn val="ctr"/>
        <c:lblOffset val="100"/>
        <c:noMultiLvlLbl val="0"/>
      </c:catAx>
      <c:valAx>
        <c:axId val="6134902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13503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145</TotalTime>
  <Pages>5</Pages>
  <Words>971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Mendak Aleksandra</dc:creator>
  <cp:lastModifiedBy>Kowalczyk Jacek</cp:lastModifiedBy>
  <cp:revision>6</cp:revision>
  <cp:lastPrinted>2007-08-23T16:47:00Z</cp:lastPrinted>
  <dcterms:created xsi:type="dcterms:W3CDTF">2019-10-14T12:07:00Z</dcterms:created>
  <dcterms:modified xsi:type="dcterms:W3CDTF">2019-10-15T08:57:00Z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